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4"/>
        </w:rPr>
      </w:pPr>
      <w:r/>
      <w:bookmarkStart w:id="0" w:name="_Toc46743519"/>
      <w:r/>
      <w:bookmarkStart w:id="1" w:name="_Toc51339699"/>
      <w:r>
        <w:rPr>
          <w:bCs/>
          <w:sz w:val="24"/>
          <w:szCs w:val="24"/>
        </w:rPr>
        <w:t xml:space="preserve">Приложение № 3 к Техническим требованиям</w:t>
      </w:r>
      <w:r>
        <w:rPr>
          <w:sz w:val="24"/>
        </w:rPr>
      </w:r>
      <w:r>
        <w:rPr>
          <w:sz w:val="24"/>
        </w:rPr>
      </w:r>
    </w:p>
    <w:p>
      <w:pPr>
        <w:ind w:firstLine="567"/>
        <w:jc w:val="both"/>
        <w:spacing w:line="276" w:lineRule="auto"/>
        <w:shd w:val="clear" w:color="auto" w:fill="ffffff"/>
        <w:tabs>
          <w:tab w:val="left" w:pos="993" w:leader="none"/>
        </w:tabs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jc w:val="both"/>
        <w:rPr>
          <w:b/>
          <w:sz w:val="22"/>
          <w:szCs w:val="22"/>
        </w:rPr>
      </w:pPr>
      <w:r/>
      <w:bookmarkStart w:id="2" w:name="RANGE!A1:D25"/>
      <w:r/>
      <w:bookmarkEnd w:id="0"/>
      <w:r/>
      <w:bookmarkEnd w:id="1"/>
      <w:r/>
      <w:bookmarkEnd w:id="2"/>
      <w:r>
        <w:rPr>
          <w:b/>
          <w:sz w:val="22"/>
          <w:szCs w:val="22"/>
        </w:rPr>
        <w:t xml:space="preserve">Требования к составлению сметной документации</w:t>
      </w:r>
      <w:r>
        <w:rPr>
          <w:b/>
          <w:sz w:val="22"/>
          <w:szCs w:val="22"/>
        </w:rPr>
        <w:t xml:space="preserve">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не допускается</w:t>
      </w:r>
      <w:r>
        <w:rPr>
          <w:rFonts w:ascii="Times New Roman" w:hAnsi="Times New Roman" w:cs="Times New Roman"/>
          <w:sz w:val="22"/>
          <w:szCs w:val="22"/>
        </w:rPr>
        <w:t xml:space="preserve">, кроме случаев, прямо указанных в настоящих требованиях.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должна быть не ниже 2021</w:t>
      </w:r>
      <w:r>
        <w:rPr>
          <w:rFonts w:ascii="Times New Roman" w:hAnsi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  <w:u w:val="single"/>
        </w:rPr>
      </w:r>
      <w:r>
        <w:rPr>
          <w:rFonts w:ascii="Times New Roman" w:hAnsi="Times New Roman" w:cs="Times New Roman"/>
          <w:sz w:val="22"/>
          <w:szCs w:val="22"/>
          <w:u w:val="single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составлении смет руководствова</w:t>
      </w:r>
      <w:r>
        <w:rPr>
          <w:rFonts w:ascii="Times New Roman" w:hAnsi="Times New Roman" w:cs="Times New Roman"/>
          <w:sz w:val="22"/>
          <w:szCs w:val="22"/>
        </w:rPr>
        <w:t xml:space="preserve">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</w:t>
      </w:r>
      <w:r>
        <w:rPr>
          <w:rFonts w:ascii="Times New Roman" w:hAnsi="Times New Roman" w:cs="Times New Roman"/>
          <w:sz w:val="22"/>
          <w:szCs w:val="22"/>
        </w:rPr>
        <w:t xml:space="preserve">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num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При составлении сметной документации необходимо использовать сметно-нормативную базу «</w:t>
      </w:r>
      <w:r>
        <w:rPr>
          <w:rFonts w:ascii="Times New Roman" w:hAnsi="Times New Roman" w:cs="Times New Roman"/>
          <w:sz w:val="22"/>
          <w:szCs w:val="22"/>
        </w:rPr>
        <w:t xml:space="preserve">ФСНБ</w:t>
      </w:r>
      <w:r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 xml:space="preserve">2» актуальной редакции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</w:t>
      </w:r>
      <w:r>
        <w:rPr>
          <w:rFonts w:ascii="Times New Roman" w:hAnsi="Times New Roman" w:cs="Times New Roman"/>
          <w:sz w:val="22"/>
          <w:szCs w:val="22"/>
        </w:rPr>
        <w:t xml:space="preserve">работ возможно </w:t>
      </w:r>
      <w:r>
        <w:rPr>
          <w:rFonts w:ascii="Times New Roman" w:hAnsi="Times New Roman" w:cs="Times New Roman"/>
          <w:sz w:val="22"/>
          <w:szCs w:val="22"/>
        </w:rPr>
        <w:t xml:space="preserve">следующими методами</w:t>
      </w:r>
      <w:r>
        <w:rPr>
          <w:rFonts w:ascii="Times New Roman" w:hAnsi="Times New Roman" w:cs="Times New Roman"/>
          <w:b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1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num" w:pos="1277" w:leader="none"/>
          <w:tab w:val="clear" w:pos="1844" w:leader="none"/>
        </w:tabs>
        <w:rPr>
          <w:rFonts w:ascii="Times New Roman" w:hAnsi="Times New Roman" w:cs="Times New Roman"/>
          <w:b/>
          <w:sz w:val="22"/>
          <w:szCs w:val="22"/>
        </w:rPr>
      </w:pPr>
      <w:r/>
      <w:bookmarkStart w:id="3" w:name="_GoBack"/>
      <w:r/>
      <w:bookmarkEnd w:id="3"/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Ресурсно-индексным - </w:t>
      </w:r>
      <w:r>
        <w:rPr>
          <w:rFonts w:ascii="Times New Roman" w:hAnsi="Times New Roman" w:cs="Times New Roman"/>
          <w:sz w:val="22"/>
          <w:szCs w:val="22"/>
        </w:rPr>
        <w:t xml:space="preserve">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</w:t>
      </w:r>
      <w:r>
        <w:rPr>
          <w:rFonts w:ascii="Times New Roman" w:hAnsi="Times New Roman" w:cs="Times New Roman"/>
          <w:sz w:val="22"/>
          <w:szCs w:val="22"/>
        </w:rPr>
        <w:t xml:space="preserve">ресурсно</w:t>
      </w:r>
      <w:r>
        <w:rPr>
          <w:rFonts w:ascii="Times New Roman" w:hAnsi="Times New Roman" w:cs="Times New Roman"/>
          <w:sz w:val="22"/>
          <w:szCs w:val="22"/>
        </w:rPr>
        <w:t xml:space="preserve">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  <w:r>
        <w:rPr>
          <w:rFonts w:ascii="Times New Roman" w:hAnsi="Times New Roman" w:cs="Times New Roman"/>
          <w:sz w:val="22"/>
          <w:szCs w:val="22"/>
        </w:rPr>
        <w:t xml:space="preserve"> Индексы перевода в текущие цены учитывать по данным ФГИС, публикуемых на момент составления сметной документации</w:t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 </w:t>
      </w:r>
      <w:r>
        <w:rPr>
          <w:rFonts w:ascii="Times New Roman" w:hAnsi="Times New Roman" w:cs="Times New Roman"/>
          <w:i/>
          <w:sz w:val="22"/>
          <w:szCs w:val="22"/>
        </w:rPr>
        <w:t xml:space="preserve">отсутствия</w:t>
      </w:r>
      <w:r>
        <w:rPr>
          <w:rFonts w:ascii="Times New Roman" w:hAnsi="Times New Roman" w:cs="Times New Roman"/>
          <w:sz w:val="22"/>
          <w:szCs w:val="22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</w:t>
      </w:r>
      <w:r>
        <w:rPr>
          <w:rFonts w:ascii="Times New Roman" w:hAnsi="Times New Roman" w:cs="Times New Roman"/>
          <w:sz w:val="22"/>
          <w:szCs w:val="22"/>
        </w:rPr>
        <w:t xml:space="preserve">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</w:t>
      </w:r>
      <w:r>
        <w:rPr>
          <w:rFonts w:ascii="Times New Roman" w:hAnsi="Times New Roman" w:cs="Times New Roman"/>
          <w:sz w:val="22"/>
          <w:szCs w:val="22"/>
        </w:rPr>
        <w:t xml:space="preserve">труда </w:t>
      </w:r>
      <w:r>
        <w:rPr>
          <w:rFonts w:ascii="Times New Roman" w:hAnsi="Times New Roman" w:cs="Times New Roman"/>
          <w:sz w:val="22"/>
          <w:szCs w:val="22"/>
        </w:rPr>
        <w:t xml:space="preserve">для</w:t>
      </w:r>
      <w:r>
        <w:rPr>
          <w:rFonts w:ascii="Times New Roman" w:hAnsi="Times New Roman" w:cs="Times New Roman"/>
          <w:sz w:val="22"/>
          <w:szCs w:val="22"/>
        </w:rPr>
        <w:t xml:space="preserve"> ЕНиР и ВНиР определ</w:t>
      </w:r>
      <w:r>
        <w:rPr>
          <w:rFonts w:ascii="Times New Roman" w:hAnsi="Times New Roman" w:cs="Times New Roman"/>
          <w:sz w:val="22"/>
          <w:szCs w:val="22"/>
        </w:rPr>
        <w:t xml:space="preserve">ять аналогично примененному в сметной документации методу расчета </w:t>
      </w:r>
      <w:r>
        <w:rPr>
          <w:rFonts w:ascii="Times New Roman" w:hAnsi="Times New Roman" w:cs="Times New Roman"/>
          <w:sz w:val="22"/>
          <w:szCs w:val="22"/>
        </w:rPr>
        <w:t xml:space="preserve">в соответствии с тарифными ставками сборника «Показатели часовой оплаты труда» (далее - ТС 2001), внесенного в ФРСН.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При </w:t>
      </w:r>
      <w:r>
        <w:rPr>
          <w:rFonts w:ascii="Times New Roman" w:hAnsi="Times New Roman" w:cs="Times New Roman"/>
          <w:i/>
          <w:sz w:val="22"/>
          <w:szCs w:val="22"/>
        </w:rPr>
        <w:t xml:space="preserve">отсутствии </w:t>
      </w:r>
      <w:r>
        <w:rPr>
          <w:rFonts w:ascii="Times New Roman" w:hAnsi="Times New Roman" w:cs="Times New Roman"/>
          <w:sz w:val="22"/>
          <w:szCs w:val="22"/>
        </w:rPr>
        <w:t xml:space="preserve">информации о сметных ценах в ФГИС ЦС и ФССЦ по материальным ресурсам и оборудованию, их сметная цена формируется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bookmarkStart w:id="4" w:name="_Hlk86254576"/>
      <w:r>
        <w:rPr>
          <w:rFonts w:ascii="Times New Roman" w:hAnsi="Times New Roman" w:cs="Times New Roman"/>
          <w:sz w:val="22"/>
          <w:szCs w:val="22"/>
        </w:rPr>
        <w:t xml:space="preserve">Методом анализа ТКП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bookmarkEnd w:id="4"/>
      <w:r>
        <w:rPr>
          <w:rFonts w:ascii="Times New Roman" w:hAnsi="Times New Roman" w:cs="Times New Roman"/>
          <w:sz w:val="22"/>
          <w:szCs w:val="22"/>
        </w:rPr>
        <w:t xml:space="preserve">в </w:t>
      </w:r>
      <w:r>
        <w:rPr>
          <w:rFonts w:ascii="Times New Roman" w:hAnsi="Times New Roman" w:cs="Times New Roman"/>
          <w:sz w:val="22"/>
          <w:szCs w:val="22"/>
        </w:rPr>
        <w:t xml:space="preserve">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 сметной документацией в случае учета в сметах материалов поставки Подрядчика по текущим ценам - дополнительно должны быть направлен анализ</w:t>
      </w:r>
      <w:r>
        <w:rPr>
          <w:sz w:val="22"/>
          <w:szCs w:val="22"/>
        </w:rPr>
        <w:t xml:space="preserve">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При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определении сметной стоимости в 2-х уровнях цен (текущем и базисном),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стоимость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указанных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материальных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ресурсов и оборудования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num" w:pos="284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Транспортные затраты определяются следующими методами: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ind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13</w:t>
      </w:r>
      <w:r>
        <w:rPr>
          <w:rFonts w:ascii="Times New Roman" w:hAnsi="Times New Roman" w:cs="Times New Roman"/>
          <w:sz w:val="22"/>
          <w:szCs w:val="22"/>
        </w:rPr>
        <w:t xml:space="preserve">.1. </w:t>
      </w:r>
      <w:r>
        <w:rPr>
          <w:rFonts w:ascii="Times New Roman" w:hAnsi="Times New Roman" w:cs="Times New Roman"/>
          <w:b/>
          <w:sz w:val="22"/>
          <w:szCs w:val="22"/>
        </w:rPr>
        <w:t xml:space="preserve">по доставке материальных ресурсов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9"/>
        </w:numPr>
        <w:ind w:left="0"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sz w:val="22"/>
          <w:szCs w:val="22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9"/>
        </w:numPr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>
        <w:rPr>
          <w:rFonts w:ascii="Times New Roman" w:hAnsi="Times New Roman" w:cs="Times New Roman"/>
          <w:sz w:val="22"/>
          <w:szCs w:val="22"/>
        </w:rPr>
        <w:t xml:space="preserve">в соответствии </w:t>
      </w:r>
      <w:r>
        <w:rPr>
          <w:rFonts w:ascii="Times New Roman" w:hAnsi="Times New Roman" w:cs="Times New Roman"/>
          <w:sz w:val="22"/>
          <w:szCs w:val="22"/>
        </w:rPr>
        <w:t xml:space="preserve">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 xml:space="preserve">материальных ресурсов</w:t>
      </w:r>
      <w:r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 xml:space="preserve">указанными выше </w:t>
      </w:r>
      <w:r>
        <w:rPr>
          <w:rFonts w:ascii="Times New Roman" w:hAnsi="Times New Roman" w:cs="Times New Roman"/>
          <w:sz w:val="22"/>
          <w:szCs w:val="22"/>
        </w:rPr>
        <w:t xml:space="preserve">способами), </w:t>
      </w:r>
      <w:r>
        <w:rPr>
          <w:rFonts w:ascii="Times New Roman" w:hAnsi="Times New Roman" w:cs="Times New Roman"/>
          <w:sz w:val="22"/>
          <w:szCs w:val="22"/>
        </w:rPr>
        <w:t xml:space="preserve">по решению заказчика.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ind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</w:t>
      </w:r>
      <w:r>
        <w:rPr>
          <w:rFonts w:ascii="Times New Roman" w:hAnsi="Times New Roman" w:cs="Times New Roman"/>
          <w:sz w:val="22"/>
          <w:szCs w:val="22"/>
        </w:rPr>
        <w:t xml:space="preserve">3</w:t>
      </w:r>
      <w:r>
        <w:rPr>
          <w:rFonts w:ascii="Times New Roman" w:hAnsi="Times New Roman" w:cs="Times New Roman"/>
          <w:sz w:val="22"/>
          <w:szCs w:val="22"/>
        </w:rPr>
        <w:t xml:space="preserve">.2.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по доставке оборудования</w:t>
      </w:r>
      <w:r>
        <w:rPr>
          <w:rFonts w:ascii="Times New Roman" w:hAnsi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sz w:val="22"/>
          <w:szCs w:val="22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>
        <w:rPr>
          <w:rFonts w:ascii="Times New Roman" w:hAnsi="Times New Roman" w:cs="Times New Roman"/>
          <w:sz w:val="22"/>
          <w:szCs w:val="22"/>
        </w:rPr>
        <w:t xml:space="preserve">в соответствии </w:t>
      </w:r>
      <w:r>
        <w:rPr>
          <w:rFonts w:ascii="Times New Roman" w:hAnsi="Times New Roman" w:cs="Times New Roman"/>
          <w:sz w:val="22"/>
          <w:szCs w:val="22"/>
        </w:rPr>
        <w:t xml:space="preserve">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9"/>
        </w:numPr>
        <w:ind w:left="0" w:firstLine="709"/>
        <w:jc w:val="both"/>
        <w:spacing w:before="40" w:after="40"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оборудования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 xml:space="preserve">указанными выше способами</w:t>
      </w:r>
      <w:r>
        <w:rPr>
          <w:rFonts w:ascii="Times New Roman" w:hAnsi="Times New Roman" w:cs="Times New Roman"/>
          <w:sz w:val="22"/>
          <w:szCs w:val="22"/>
        </w:rPr>
        <w:t xml:space="preserve">), по решению заказчика.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Если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транспортировка осуществляется заказчиком самостоятельно (самовывоз), данный показатель не учитывается.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25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2% - для материальных</w:t>
      </w:r>
      <w:r>
        <w:rPr>
          <w:rFonts w:ascii="Times New Roman" w:hAnsi="Times New Roman" w:cs="Times New Roman"/>
          <w:sz w:val="22"/>
          <w:szCs w:val="22"/>
        </w:rPr>
        <w:t xml:space="preserve"> ресурсов (кроме металлоконструкций);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0,75% - для металлоконструкций;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1,2% - для оборудования.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993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Затраты на эксплуатацию строительной техники, не учтенной нормами и расценками, включенными в ФРСН, определяются Методом анализа ТКП </w:t>
      </w:r>
      <w:r>
        <w:rPr>
          <w:rFonts w:ascii="Times New Roman" w:hAnsi="Times New Roman" w:cs="Times New Roman"/>
          <w:sz w:val="22"/>
          <w:szCs w:val="22"/>
        </w:rPr>
        <w:t xml:space="preserve">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и включаются в Главу 9 ССРСС.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07"/>
        <w:numPr>
          <w:ilvl w:val="0"/>
          <w:numId w:val="26"/>
        </w:numPr>
        <w:ind w:left="0" w:firstLine="993"/>
        <w:jc w:val="both"/>
        <w:tabs>
          <w:tab w:val="clear" w:pos="1272" w:leader="none"/>
        </w:tabs>
      </w:pPr>
      <w:r>
        <w:t xml:space="preserve">По предоставляемым грузоподъемным механизмам, учтенным в составе сметных норм и расценок:</w:t>
      </w:r>
      <w:r/>
    </w:p>
    <w:p>
      <w:pPr>
        <w:pStyle w:val="1007"/>
        <w:ind w:left="0" w:firstLine="993"/>
        <w:jc w:val="both"/>
      </w:pPr>
      <w:r>
        <w:t xml:space="preserve">•</w:t>
      </w:r>
      <w:r>
        <w:tab/>
        <w:t xml:space="preserve">Исключать из норм и расценок предоставляемые грузоподъемные механизмы. </w:t>
      </w:r>
      <w:r/>
    </w:p>
    <w:p>
      <w:pPr>
        <w:pStyle w:val="1007"/>
        <w:ind w:left="0" w:firstLine="993"/>
        <w:jc w:val="both"/>
      </w:pPr>
      <w:r>
        <w:t xml:space="preserve">В случае использования подрядчиком собственных/арендованных механизмов полностью, либо частично, для </w:t>
      </w:r>
      <w:r>
        <w:t xml:space="preserve">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химочищенная, электроэнергия. </w:t>
      </w:r>
      <w:r/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При формировании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применении коэффициенты перемножаются, результат округляется до семи знаков после запятой.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Затраты</w:t>
      </w:r>
      <w:r>
        <w:rPr>
          <w:rFonts w:ascii="Times New Roman" w:hAnsi="Times New Roman" w:cs="Times New Roman"/>
          <w:sz w:val="22"/>
          <w:szCs w:val="22"/>
        </w:rPr>
        <w:t xml:space="preserve">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</w:t>
      </w:r>
      <w:r>
        <w:rPr>
          <w:rFonts w:ascii="Times New Roman" w:hAnsi="Times New Roman" w:cs="Times New Roman"/>
          <w:sz w:val="22"/>
          <w:szCs w:val="22"/>
        </w:rPr>
        <w:t xml:space="preserve">нормативным методом с применением нормативов затрат на строительство титульных временных зданий и сооружений</w:t>
      </w:r>
      <w:r>
        <w:rPr>
          <w:rFonts w:ascii="Times New Roman" w:hAnsi="Times New Roman" w:cs="Times New Roman"/>
          <w:sz w:val="22"/>
          <w:szCs w:val="22"/>
        </w:rPr>
        <w:t xml:space="preserve">, сведения о которых включены в ФРСН, расчетным методом - на основании ЛСР (ЛС) или калькуляций, в соответствии с данными ПОС. Порядок </w:t>
      </w:r>
      <w:r>
        <w:rPr>
          <w:rFonts w:ascii="Times New Roman" w:hAnsi="Times New Roman" w:cs="Times New Roman"/>
          <w:sz w:val="22"/>
          <w:szCs w:val="22"/>
        </w:rPr>
        <w:t xml:space="preserve">расчета за возведенные временные здания и сооружения оговаривать в договоре подряда.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993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формировании цены по сборникам ГЭСН (ГЭСНр, ГЭСНм, ГЭСНп) нормативы сметной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прибыли принимать на СМР – 40% от ФОТ, на ПНР – 36% от ФОТ.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tab/>
      </w:r>
      <w:r>
        <w:rPr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Сметная стоимость пусконаладочных работ определяется на основании утвержденных заказчиком программы и графика.</w:t>
      </w:r>
      <w:r>
        <w:rPr>
          <w:rFonts w:ascii="Times New Roman" w:hAnsi="Times New Roman" w:cs="Times New Roman"/>
          <w:sz w:val="22"/>
          <w:szCs w:val="22"/>
        </w:rPr>
        <w:t xml:space="preserve">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VII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 xml:space="preserve">Методики определения сметной стоимости строительства: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35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Затраты на проведение пусконаладочных работ «вхолостую» по объе</w:t>
      </w:r>
      <w:r>
        <w:rPr>
          <w:rFonts w:ascii="Times New Roman" w:hAnsi="Times New Roman" w:cs="Times New Roman"/>
          <w:sz w:val="22"/>
          <w:szCs w:val="22"/>
        </w:rPr>
        <w:t xml:space="preserve">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>
        <w:rPr>
          <w:rFonts w:ascii="Times New Roman" w:hAnsi="Times New Roman" w:cs="Times New Roman"/>
          <w:sz w:val="22"/>
          <w:szCs w:val="22"/>
        </w:rPr>
        <w:t xml:space="preserve">комплексного опробования оборудования), в сметной стоимости ПНР дополнительно могут учитываться: стоимость материальных, энергетических ресурсов, </w:t>
      </w:r>
      <w:r>
        <w:rPr>
          <w:rFonts w:ascii="Times New Roman" w:hAnsi="Times New Roman" w:cs="Times New Roman"/>
          <w:sz w:val="22"/>
          <w:szCs w:val="22"/>
        </w:rPr>
        <w:t xml:space="preserve">сырья и полуфабрикатов, используемых при проведении ПНР «вхолостую».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35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Пусконаладочные работы «под нагрузкой» </w:t>
      </w:r>
      <w:r>
        <w:rPr>
          <w:rFonts w:ascii="Times New Roman" w:hAnsi="Times New Roman" w:cs="Times New Roman"/>
          <w:sz w:val="22"/>
          <w:szCs w:val="22"/>
        </w:rPr>
        <w:t xml:space="preserve">для объектов производственного и непроизводственного назначения, связанных с получением дохода от реализации товаров (услуг</w:t>
      </w:r>
      <w:r>
        <w:rPr>
          <w:rFonts w:ascii="Times New Roman" w:hAnsi="Times New Roman" w:cs="Times New Roman"/>
          <w:sz w:val="22"/>
          <w:szCs w:val="22"/>
        </w:rPr>
        <w:t xml:space="preserve">) </w:t>
      </w:r>
      <w:r>
        <w:rPr>
          <w:rFonts w:ascii="Times New Roman" w:hAnsi="Times New Roman" w:cs="Times New Roman"/>
          <w:sz w:val="22"/>
          <w:szCs w:val="22"/>
        </w:rPr>
        <w:t xml:space="preserve">не относятся на сметную стоимость строительства и в сметной документации не учитываются.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Размер командировочных расходов учитывать в размере 3,74% от итогов глав 1-9 без учета стоимости оборудования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25"/>
        <w:ind w:firstLine="709"/>
        <w:jc w:val="both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/>
      <w:bookmarkStart w:id="5" w:name="_Hlk147744488"/>
      <w:r>
        <w:rPr>
          <w:rFonts w:ascii="Times New Roman" w:hAnsi="Times New Roman" w:cs="Times New Roman"/>
          <w:color w:val="000000"/>
          <w:sz w:val="22"/>
          <w:szCs w:val="22"/>
        </w:rPr>
        <w:t xml:space="preserve">3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4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.1 При производстве СМР и ПНР лимиты командировочных расходов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на стадии расчетов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принимать в размере </w:t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 xml:space="preserve">не более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: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25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суточные – 7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00 руб./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сутки;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25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проживание – 55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0 руб./сутки;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25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проезд: поезд (купе) или самолет (класс–эконом с багажом до 20 (двадцати) кг, ручная кладь до 10 (десяти) кг).</w:t>
      </w:r>
      <w:bookmarkEnd w:id="5"/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</w:t>
      </w:r>
      <w:r>
        <w:rPr>
          <w:rFonts w:ascii="Times New Roman" w:hAnsi="Times New Roman" w:cs="Times New Roman"/>
          <w:sz w:val="22"/>
          <w:szCs w:val="22"/>
        </w:rPr>
        <w:t xml:space="preserve"> или складирования) и разгрузки строитель</w:t>
      </w:r>
      <w:r>
        <w:rPr>
          <w:rFonts w:ascii="Times New Roman" w:hAnsi="Times New Roman" w:cs="Times New Roman"/>
          <w:sz w:val="22"/>
          <w:szCs w:val="22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sz w:val="22"/>
          <w:szCs w:val="22"/>
          <w:u w:val="single"/>
        </w:rPr>
      </w:pPr>
      <w:r/>
      <w:bookmarkStart w:id="6" w:name="_Ref19086149"/>
      <w:r>
        <w:rPr>
          <w:rFonts w:ascii="Times New Roman" w:hAnsi="Times New Roman" w:cs="Times New Roman"/>
          <w:sz w:val="22"/>
          <w:szCs w:val="22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округлять:</w:t>
      </w:r>
      <w:bookmarkEnd w:id="6"/>
      <w:r>
        <w:rPr>
          <w:rFonts w:ascii="Times New Roman" w:hAnsi="Times New Roman" w:cs="Times New Roman"/>
          <w:b/>
          <w:sz w:val="22"/>
          <w:szCs w:val="22"/>
          <w:u w:val="single"/>
        </w:rPr>
      </w:r>
      <w:r>
        <w:rPr>
          <w:rFonts w:ascii="Times New Roman" w:hAnsi="Times New Roman" w:cs="Times New Roman"/>
          <w:b/>
          <w:sz w:val="22"/>
          <w:szCs w:val="22"/>
          <w:u w:val="single"/>
        </w:rPr>
      </w:r>
    </w:p>
    <w:p>
      <w:pPr>
        <w:pStyle w:val="1025"/>
        <w:numPr>
          <w:ilvl w:val="0"/>
          <w:numId w:val="36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>
        <w:rPr>
          <w:rFonts w:ascii="Times New Roman" w:hAnsi="Times New Roman" w:cs="Times New Roman"/>
          <w:b/>
          <w:sz w:val="22"/>
          <w:szCs w:val="22"/>
        </w:rPr>
        <w:t xml:space="preserve">двух знаков</w:t>
      </w:r>
      <w:r>
        <w:rPr>
          <w:rFonts w:ascii="Times New Roman" w:hAnsi="Times New Roman" w:cs="Times New Roman"/>
          <w:sz w:val="22"/>
          <w:szCs w:val="22"/>
        </w:rPr>
        <w:t xml:space="preserve"> после запятой (до копеек);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36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ascii="Times New Roman" w:hAnsi="Times New Roman" w:cs="Times New Roman"/>
          <w:b/>
          <w:sz w:val="22"/>
          <w:szCs w:val="22"/>
        </w:rPr>
        <w:t xml:space="preserve">в рублях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 xml:space="preserve">до целых единиц</w:t>
      </w:r>
      <w:r>
        <w:rPr>
          <w:rFonts w:ascii="Times New Roman" w:hAnsi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36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cs="Times New Roman"/>
          <w:b/>
          <w:sz w:val="22"/>
          <w:szCs w:val="22"/>
        </w:rPr>
        <w:t xml:space="preserve">рублях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 xml:space="preserve">до двух знаков</w:t>
      </w:r>
      <w:r>
        <w:rPr>
          <w:rFonts w:ascii="Times New Roman" w:hAnsi="Times New Roman" w:cs="Times New Roman"/>
          <w:sz w:val="22"/>
          <w:szCs w:val="22"/>
        </w:rPr>
        <w:t xml:space="preserve"> после запятой. Величину НДС не указывать.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Выходные формы сметных расчетов должны соответствовать Образцам по приложениям 1.5.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1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left" w:pos="1134" w:leader="none"/>
          <w:tab w:val="clear" w:pos="184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2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 предоставляемой электроэнергии (в том числе, в составе стоимости машино-часа):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07"/>
        <w:numPr>
          <w:ilvl w:val="0"/>
          <w:numId w:val="37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</w:pPr>
      <w:r>
        <w:t xml:space="preserve">Рассчитанная сумма возврата стоимост</w:t>
      </w:r>
      <w:r>
        <w:t xml:space="preserve">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957"/>
        </w:rPr>
        <w:footnoteReference w:id="2"/>
      </w:r>
      <w:r>
        <w:t xml:space="preserve">. </w:t>
      </w:r>
      <w:r>
        <w:t xml:space="preserve"> </w:t>
      </w:r>
      <w:r/>
    </w:p>
    <w:p>
      <w:pPr>
        <w:pStyle w:val="1007"/>
        <w:numPr>
          <w:ilvl w:val="0"/>
          <w:numId w:val="37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</w:pPr>
      <w:r>
        <w:t xml:space="preserve">Индекс пересчета в текущие цены применять аналогичный примененному в сметной документации.</w:t>
      </w:r>
      <w:r/>
    </w:p>
    <w:p>
      <w:pPr>
        <w:pStyle w:val="1007"/>
        <w:numPr>
          <w:ilvl w:val="0"/>
          <w:numId w:val="37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</w:pPr>
      <w:r>
        <w:t xml:space="preserve">При применении индексов по статьям затрат в сметной документации для данного ресурса применять индекс на материалы.</w:t>
      </w:r>
      <w:r/>
    </w:p>
    <w:p>
      <w:pPr>
        <w:pStyle w:val="1025"/>
        <w:numPr>
          <w:ilvl w:val="2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 предоставляемому сжатому воздуху: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07"/>
        <w:numPr>
          <w:ilvl w:val="0"/>
          <w:numId w:val="38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</w:pPr>
      <w:r>
        <w:t xml:space="preserve">Из норм и расценок исключать стоимость компрессоров. </w:t>
      </w:r>
      <w:r/>
    </w:p>
    <w:p>
      <w:pPr>
        <w:pStyle w:val="1025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num" w:pos="1134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07"/>
        <w:numPr>
          <w:ilvl w:val="0"/>
          <w:numId w:val="39"/>
        </w:numPr>
        <w:contextualSpacing w:val="0"/>
        <w:ind w:left="-142" w:firstLine="709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  <w:rPr>
          <w:color w:val="000000"/>
        </w:rPr>
      </w:pPr>
      <w:r>
        <w:rPr>
          <w:color w:val="000000"/>
        </w:rPr>
        <w:t xml:space="preserve">При наличии двух и более сметных расчетов составлять ССР в текущем уровне цен</w:t>
      </w:r>
      <w:r>
        <w:rPr>
          <w:color w:val="000000"/>
        </w:rPr>
        <w:t xml:space="preserve"> </w:t>
      </w:r>
      <w:r>
        <w:t xml:space="preserve">по форме </w:t>
      </w:r>
      <w:r>
        <w:rPr>
          <w:color w:val="000000"/>
        </w:rPr>
        <w:t xml:space="preserve">Приложения </w:t>
      </w:r>
      <w:r>
        <w:rPr>
          <w:color w:val="000000"/>
        </w:rPr>
        <w:t xml:space="preserve">№ </w:t>
      </w:r>
      <w:r>
        <w:rPr>
          <w:color w:val="000000"/>
        </w:rPr>
        <w:t xml:space="preserve">1.1 к </w:t>
      </w:r>
      <w:r>
        <w:rPr>
          <w:sz w:val="22"/>
          <w:szCs w:val="22"/>
        </w:rPr>
        <w:t xml:space="preserve">Требования к составлению сметной документации</w:t>
      </w:r>
      <w:r>
        <w:rPr>
          <w:sz w:val="22"/>
          <w:szCs w:val="22"/>
        </w:rPr>
        <w:t xml:space="preserve"> в составе рабочей документации</w:t>
      </w:r>
      <w:r>
        <w:rPr>
          <w:color w:val="000000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pStyle w:val="1025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ЛСР (</w:t>
      </w:r>
      <w:r>
        <w:rPr>
          <w:rFonts w:ascii="Times New Roman" w:hAnsi="Times New Roman"/>
          <w:color w:val="000000"/>
          <w:sz w:val="22"/>
          <w:szCs w:val="22"/>
        </w:rPr>
        <w:t xml:space="preserve">ЛС) к основному договору и ко всем заключенным д/с к нему. В итогах ССР (справочно) указывать</w:t>
      </w:r>
      <w:r>
        <w:rPr>
          <w:rFonts w:ascii="Times New Roman" w:hAnsi="Times New Roman"/>
          <w:color w:val="000000"/>
          <w:sz w:val="22"/>
          <w:szCs w:val="22"/>
        </w:rPr>
        <w:t xml:space="preserve">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  <w:r>
        <w:rPr>
          <w:rFonts w:ascii="Times New Roman" w:hAnsi="Times New Roman"/>
          <w:color w:val="000000"/>
          <w:sz w:val="22"/>
          <w:szCs w:val="22"/>
        </w:rPr>
      </w:r>
      <w:r>
        <w:rPr>
          <w:rFonts w:ascii="Times New Roman" w:hAnsi="Times New Roman"/>
          <w:color w:val="000000"/>
          <w:sz w:val="22"/>
          <w:szCs w:val="22"/>
        </w:rPr>
      </w:r>
    </w:p>
    <w:p>
      <w:pPr>
        <w:pStyle w:val="1025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ЛСР (ЛС) разрабатываются отдельно на исключаемые и дополнительные объемы работ. К сме</w:t>
      </w:r>
      <w:r>
        <w:rPr>
          <w:rFonts w:ascii="Times New Roman" w:hAnsi="Times New Roman"/>
          <w:color w:val="000000"/>
          <w:sz w:val="22"/>
          <w:szCs w:val="22"/>
        </w:rPr>
        <w:t xml:space="preserve">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 xml:space="preserve">Требования к составлению сметной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 в составе рабочей документации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>
        <w:rPr>
          <w:rFonts w:ascii="Times New Roman" w:hAnsi="Times New Roman"/>
          <w:color w:val="000000"/>
          <w:sz w:val="22"/>
          <w:szCs w:val="22"/>
        </w:rPr>
      </w:r>
      <w:r>
        <w:rPr>
          <w:rFonts w:ascii="Times New Roman" w:hAnsi="Times New Roman"/>
          <w:color w:val="000000"/>
          <w:sz w:val="22"/>
          <w:szCs w:val="22"/>
        </w:rPr>
      </w:r>
    </w:p>
    <w:p>
      <w:pPr>
        <w:pStyle w:val="1025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/>
          <w:color w:val="000000"/>
          <w:sz w:val="22"/>
          <w:szCs w:val="22"/>
        </w:rPr>
      </w:r>
      <w:r>
        <w:rPr>
          <w:rFonts w:ascii="Times New Roman" w:hAnsi="Times New Roman"/>
          <w:color w:val="000000"/>
          <w:sz w:val="22"/>
          <w:szCs w:val="22"/>
        </w:rPr>
      </w:r>
    </w:p>
    <w:p>
      <w:pPr>
        <w:pStyle w:val="1025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rFonts w:ascii="Times New Roman" w:hAnsi="Times New Roman"/>
          <w:color w:val="000000"/>
          <w:sz w:val="22"/>
          <w:szCs w:val="22"/>
        </w:rPr>
      </w:r>
      <w:r>
        <w:rPr>
          <w:rFonts w:ascii="Times New Roman" w:hAnsi="Times New Roman"/>
          <w:color w:val="000000"/>
          <w:sz w:val="22"/>
          <w:szCs w:val="22"/>
        </w:rPr>
      </w:r>
    </w:p>
    <w:p>
      <w:pPr>
        <w:pStyle w:val="1025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В ССР, построчные и итоговые суммы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  <w:szCs w:val="22"/>
        </w:rPr>
        <w:t xml:space="preserve">в рублях с округлением до двух знаков после запятой. Величину НДС не указывать.</w:t>
      </w:r>
      <w:r>
        <w:rPr>
          <w:rFonts w:ascii="Times New Roman" w:hAnsi="Times New Roman"/>
          <w:color w:val="000000"/>
          <w:sz w:val="22"/>
          <w:szCs w:val="22"/>
        </w:rPr>
      </w:r>
      <w:r>
        <w:rPr>
          <w:rFonts w:ascii="Times New Roman" w:hAnsi="Times New Roman"/>
          <w:color w:val="000000"/>
          <w:sz w:val="22"/>
          <w:szCs w:val="22"/>
        </w:rPr>
      </w:r>
    </w:p>
    <w:p>
      <w:pPr>
        <w:pStyle w:val="1025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</w:t>
      </w:r>
      <w:r>
        <w:rPr>
          <w:rFonts w:ascii="Times New Roman" w:hAnsi="Times New Roman"/>
          <w:color w:val="000000"/>
          <w:sz w:val="22"/>
          <w:szCs w:val="22"/>
        </w:rPr>
        <w:t xml:space="preserve">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  <w:r>
        <w:rPr>
          <w:rFonts w:ascii="Times New Roman" w:hAnsi="Times New Roman"/>
          <w:color w:val="000000"/>
          <w:sz w:val="22"/>
          <w:szCs w:val="22"/>
        </w:rPr>
      </w:r>
      <w:r>
        <w:rPr>
          <w:rFonts w:ascii="Times New Roman" w:hAnsi="Times New Roman"/>
          <w:color w:val="000000"/>
          <w:sz w:val="22"/>
          <w:szCs w:val="22"/>
        </w:rPr>
      </w:r>
    </w:p>
    <w:p>
      <w:pPr>
        <w:pStyle w:val="1007"/>
        <w:numPr>
          <w:ilvl w:val="0"/>
          <w:numId w:val="39"/>
        </w:numPr>
        <w:contextualSpacing w:val="0"/>
        <w:ind w:left="0" w:firstLine="709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</w:pPr>
      <w:r>
        <w:t xml:space="preserve">Сметная</w:t>
      </w:r>
      <w:r>
        <w:t xml:space="preserve"> документация должна быть представлена в двух вариантах:</w:t>
      </w:r>
      <w:r/>
    </w:p>
    <w:p>
      <w:pPr>
        <w:pStyle w:val="1025"/>
        <w:numPr>
          <w:ilvl w:val="0"/>
          <w:numId w:val="34"/>
        </w:numPr>
        <w:jc w:val="both"/>
        <w:spacing w:before="40" w:after="40"/>
        <w:tabs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бумажном носителе (количество указано в конкурсной документации) Образец ЛСР в соответствии с приложением № 1.5 к </w:t>
      </w:r>
      <w:r>
        <w:rPr>
          <w:rFonts w:ascii="Times New Roman" w:hAnsi="Times New Roman" w:cs="Times New Roman"/>
          <w:sz w:val="22"/>
          <w:szCs w:val="22"/>
        </w:rPr>
        <w:t xml:space="preserve">Требования к составлению сметной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34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электронном носителе (в формате «xml» ПК «Гранд-Смета», «Excel», «pdf»),</w:t>
      </w:r>
      <w:r>
        <w:rPr>
          <w:rFonts w:ascii="Times New Roman" w:hAnsi="Times New Roman" w:cs="Times New Roman"/>
          <w:sz w:val="22"/>
          <w:szCs w:val="22"/>
        </w:rPr>
        <w:t xml:space="preserve"> полностью соответствующему, бумажному варианту. Сметная документация в формате «Exce</w:t>
      </w:r>
      <w:r>
        <w:rPr>
          <w:rFonts w:ascii="Times New Roman" w:hAnsi="Times New Roman" w:cs="Times New Roman"/>
          <w:sz w:val="22"/>
          <w:szCs w:val="22"/>
        </w:rPr>
        <w:t xml:space="preserve">l</w:t>
      </w:r>
      <w:r>
        <w:rPr>
          <w:rFonts w:ascii="Times New Roman" w:hAnsi="Times New Roman" w:cs="Times New Roman"/>
          <w:sz w:val="22"/>
          <w:szCs w:val="22"/>
        </w:rPr>
        <w:t xml:space="preserve">» должна быть представлена в одном файле с внесением ССР, ЛСР и других расчетов на отдельные листы (вкладки) документа.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5"/>
        <w:numPr>
          <w:ilvl w:val="0"/>
          <w:numId w:val="34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формате ПК «Гранд-смета» выходная форма для печати указана ниже: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5811"/>
        <w:rPr>
          <w:color w:val="000000"/>
          <w:sz w:val="20"/>
          <w:szCs w:val="20"/>
          <w:highlight w:val="yellow"/>
        </w:rPr>
      </w:pP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</w:p>
    <w:tbl>
      <w:tblPr>
        <w:tblStyle w:val="964"/>
        <w:tblW w:w="0" w:type="auto"/>
        <w:tblLook w:val="04A0" w:firstRow="1" w:lastRow="0" w:firstColumn="1" w:lastColumn="0" w:noHBand="0" w:noVBand="1"/>
      </w:tblPr>
      <w:tblGrid>
        <w:gridCol w:w="5338"/>
        <w:gridCol w:w="4715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291232" cy="3355451"/>
                      <wp:effectExtent l="0" t="0" r="4445" b="0"/>
                      <wp:docPr id="1" name="Рисунок 2" descr="cid:image001.jpg@01D771AB.FE884A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 descr="cid:image001.jpg@01D771AB.FE884A10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rcRect l="0" t="0" r="45819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86034" cy="34521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59.15pt;height:264.21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color w:val="000000"/>
                <w:sz w:val="20"/>
                <w:szCs w:val="20"/>
                <w:highlight w:val="yellow"/>
              </w:rPr>
            </w:r>
            <w:r>
              <w:rPr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W w:w="4957" w:type="dxa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object w:dxaOrig="4619" w:dyaOrig="5184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" o:spid="_x0000_s1" type="#_x0000_t75" style="width:228.00pt;height:258.00pt;mso-wrap-distance-left:0.00pt;mso-wrap-distance-top:0.00pt;mso-wrap-distance-right:0.00pt;mso-wrap-distance-bottom:0.00pt;" filled="f" stroked="f">
                  <v:path textboxrect="0,0,0,0"/>
                  <v:imagedata r:id="rId14" o:title=""/>
                </v:shape>
                <o:OLEObject DrawAspect="Content" r:id="rId15" ObjectID="_1525041" ProgID="PBrush" ShapeID="_x0000_i1" Type="Embed"/>
              </w:object>
            </w:r>
            <w:r>
              <w:rPr>
                <w:color w:val="000000"/>
                <w:sz w:val="20"/>
                <w:szCs w:val="20"/>
                <w:highlight w:val="yellow"/>
              </w:rPr>
            </w:r>
            <w:r>
              <w:rPr>
                <w:color w:val="000000"/>
                <w:sz w:val="20"/>
                <w:szCs w:val="20"/>
                <w:highlight w:val="yellow"/>
              </w:rPr>
            </w:r>
          </w:p>
        </w:tc>
      </w:tr>
    </w:tbl>
    <w:p>
      <w:pPr>
        <w:pStyle w:val="1025"/>
        <w:ind w:left="567" w:firstLine="0"/>
        <w:jc w:val="both"/>
        <w:widowControl/>
        <w:rPr>
          <w:rFonts w:ascii="Times New Roman" w:hAnsi="Times New Roman" w:cs="Times New Roman"/>
          <w:sz w:val="22"/>
          <w:szCs w:val="22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07"/>
        <w:ind w:left="928" w:right="666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№1.1 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25"/>
        <w:ind w:left="928" w:right="666" w:firstLine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 xml:space="preserve">Требования к составлению сметной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tbl>
      <w:tblPr>
        <w:tblW w:w="15834" w:type="dxa"/>
        <w:tblLook w:val="04A0" w:firstRow="1" w:lastRow="0" w:firstColumn="1" w:lastColumn="0" w:noHBand="0" w:noVBand="1"/>
      </w:tblPr>
      <w:tblGrid>
        <w:gridCol w:w="1239"/>
        <w:gridCol w:w="72"/>
        <w:gridCol w:w="1635"/>
        <w:gridCol w:w="584"/>
        <w:gridCol w:w="2842"/>
        <w:gridCol w:w="104"/>
        <w:gridCol w:w="13"/>
        <w:gridCol w:w="1524"/>
        <w:gridCol w:w="131"/>
        <w:gridCol w:w="13"/>
        <w:gridCol w:w="1677"/>
        <w:gridCol w:w="69"/>
        <w:gridCol w:w="13"/>
        <w:gridCol w:w="1839"/>
        <w:gridCol w:w="13"/>
        <w:gridCol w:w="33"/>
        <w:gridCol w:w="1931"/>
        <w:gridCol w:w="13"/>
        <w:gridCol w:w="293"/>
        <w:gridCol w:w="1668"/>
        <w:gridCol w:w="9"/>
        <w:gridCol w:w="119"/>
      </w:tblGrid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ОБРАЗЕЦ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51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Приложение __ от ______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 Договору № _________ от ______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СОГЛАСОВАНО: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УТВЕРЖДАЮ: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___________________ФИО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___________________ФИО      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89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"_______" _____________ 20___ г.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99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"______" ____________________ 20__ г.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Сводный сметный расчет в сумме:______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руб. без НДС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14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СВОДНЫЙ СМЕТНЫЙ РАСЧЕТ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1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202" w:type="dxa"/>
            <w:vAlign w:val="center"/>
            <w:textDirection w:val="lrTb"/>
            <w:noWrap/>
          </w:tcPr>
          <w:p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(наименование стройки)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77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Составлен в ценах, соответствующих периоду выполнения работ по договору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0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пп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Номера сметных расчетов и смет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глав, объектов, работ и затрат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Сметная стоимость, руб.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сметная стоимость, руб.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строительных работ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монтажных работ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оборудования, мебели, инвентаря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прочих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946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8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Глава 2. Основные объекты строительства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02-01-01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4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Главе 2. "Основные объекты строительства"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Главам 1-12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Непредвиденные затраты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с учетом "Непредвиденные затраты"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сводному расчету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Составил: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Проверил: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07"/>
        <w:ind w:left="928"/>
        <w:rPr>
          <w:b/>
          <w:sz w:val="18"/>
          <w:szCs w:val="18"/>
        </w:rPr>
      </w:pPr>
      <w:r>
        <w:object w:dxaOrig="1680" w:dyaOrig="1094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85.80pt;height:53.40pt;mso-wrap-distance-left:0.00pt;mso-wrap-distance-top:0.00pt;mso-wrap-distance-right:0.00pt;mso-wrap-distance-bottom:0.00pt;" filled="f" stroked="f">
            <v:path textboxrect="0,0,0,0"/>
            <v:imagedata r:id="rId16" o:title=""/>
          </v:shape>
          <o:OLEObject DrawAspect="Icon" ObjectID="_1525042" ProgID="Excel.Sheet.12" ShapeID="_x0000_i2" Type="Embed"/>
        </w:object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pStyle w:val="1025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1276" w:right="851" w:bottom="567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97"/>
      </w:pPr>
      <w:r>
        <w:rPr>
          <w:b/>
        </w:rPr>
        <w:t xml:space="preserve">ОБРАЗЕЦ</w:t>
      </w:r>
      <w:r>
        <w:t xml:space="preserve">       </w:t>
      </w:r>
      <w:r>
        <w:t xml:space="preserve">      </w:t>
      </w:r>
      <w:r/>
    </w:p>
    <w:p>
      <w:pPr>
        <w:ind w:left="8646"/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 xml:space="preserve">№</w:t>
      </w:r>
      <w:r>
        <w:rPr>
          <w:sz w:val="20"/>
          <w:szCs w:val="20"/>
        </w:rPr>
        <w:t xml:space="preserve">1.2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25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 xml:space="preserve">Требования к составлению сметной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 в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6199" w:type="dxa"/>
        <w:tblInd w:w="142" w:type="dxa"/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6"/>
        <w:gridCol w:w="216"/>
        <w:gridCol w:w="1208"/>
        <w:gridCol w:w="1843"/>
        <w:gridCol w:w="245"/>
        <w:gridCol w:w="823"/>
        <w:gridCol w:w="916"/>
        <w:gridCol w:w="257"/>
        <w:gridCol w:w="534"/>
        <w:gridCol w:w="220"/>
        <w:gridCol w:w="838"/>
        <w:gridCol w:w="419"/>
        <w:gridCol w:w="20"/>
        <w:gridCol w:w="434"/>
        <w:gridCol w:w="439"/>
        <w:gridCol w:w="216"/>
        <w:gridCol w:w="717"/>
        <w:gridCol w:w="748"/>
      </w:tblGrid>
      <w:tr>
        <w:tblPrEx/>
        <w:trPr>
          <w:trHeight w:val="78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vAlign w:val="center"/>
            <w:textDirection w:val="lrTb"/>
            <w:noWrap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СОГЛАСОВАНО: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vAlign w:val="bottom"/>
            <w:textDirection w:val="lrTb"/>
            <w:noWrap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vAlign w:val="bottom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vAlign w:val="bottom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УТВЕРЖДАЮ: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 ФИО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________________ФИО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22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"___" _____________ 20__ г.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"___" _____________ 20__ г.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1" w:type="dxa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65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35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7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3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3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95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Сводный сметный расчет в сумме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руб. без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59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СВОДНЫЙ СМЕТНЫЙ РАСЧЕТ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6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34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(наименование стройки)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68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 в текущих ценах, соответствующих периоду выполнения работ по договору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6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пп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Номера сметных расчетов и смет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глав, объектов, работ и затрат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755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Сметная стоимость, руб.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26" w:type="dxa"/>
            <w:vAlign w:val="center"/>
            <w:vMerge w:val="restart"/>
            <w:textDirection w:val="lrTb"/>
            <w:noWrap w:val="false"/>
          </w:tcPr>
          <w:p>
            <w:pPr>
              <w:ind w:lef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сметная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lef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стоимость, руб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59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строитель-</w:t>
            </w:r>
            <w:r>
              <w:rPr>
                <w:sz w:val="18"/>
                <w:szCs w:val="18"/>
              </w:rPr>
              <w:br/>
              <w:t xml:space="preserve">ных работ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монтажных работ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оборудования, мебели, инвентаря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прочих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vMerge w:val="continue"/>
            <w:textDirection w:val="lrTb"/>
            <w:noWrap w:val="false"/>
          </w:tcPr>
          <w:p>
            <w:pPr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722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48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textDirection w:val="lrTb"/>
            <w:noWrap w:val="false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Глава 2. Основные объекты 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Сметы основного договора: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№02-01-01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№02-01-02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Исключить дополнительным соглашением №___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№02-01-02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40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исключено Дополнительным соглашением №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435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Включить дополнительным соглашением №____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№02-01-02/1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включено Дополнительным соглашением №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22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Главе 2. "Основные объекты"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Всего по сводному сметному расчету, без учета НДС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сумма основного договора (без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77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ДС №___ от ___.__.20___г.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сумма увеличения основного договора на основании дополнительного соглашения № ___ без НДС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0  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Составил: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Проверил: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2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object w:dxaOrig="1525" w:dyaOrig="99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78.00pt;height:48.00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Icon" ObjectID="_1525043" ProgID="Excel.Sheet.12" ShapeID="_x0000_i3" Type="Embed"/>
        </w:objec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pStyle w:val="1025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284" w:right="851" w:bottom="709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rPr>
          <w:b/>
        </w:rPr>
      </w:pPr>
      <w:r/>
      <w:bookmarkStart w:id="7" w:name="P3258"/>
      <w:r/>
      <w:bookmarkStart w:id="8" w:name="P2506"/>
      <w:r/>
      <w:bookmarkStart w:id="9" w:name="P2522"/>
      <w:r/>
      <w:bookmarkStart w:id="10" w:name="P2523"/>
      <w:r/>
      <w:bookmarkStart w:id="11" w:name="P2524"/>
      <w:r/>
      <w:bookmarkStart w:id="12" w:name="P2525"/>
      <w:r/>
      <w:bookmarkStart w:id="13" w:name="P2526"/>
      <w:r/>
      <w:bookmarkStart w:id="14" w:name="P2527"/>
      <w:r/>
      <w:bookmarkStart w:id="15" w:name="P2528"/>
      <w:r/>
      <w:bookmarkStart w:id="16" w:name="P2529"/>
      <w:r/>
      <w:bookmarkStart w:id="17" w:name="P2530"/>
      <w:r/>
      <w:bookmarkStart w:id="18" w:name="P2531"/>
      <w:r/>
      <w:bookmarkStart w:id="19" w:name="P2546"/>
      <w:r/>
      <w:bookmarkStart w:id="20" w:name="P2566"/>
      <w:r/>
      <w:bookmarkStart w:id="21" w:name="P2616"/>
      <w:r/>
      <w:bookmarkStart w:id="22" w:name="P2736"/>
      <w:r/>
      <w:bookmarkStart w:id="23" w:name="P2746"/>
      <w:r/>
      <w:bookmarkStart w:id="24" w:name="P2945"/>
      <w:r/>
      <w:bookmarkEnd w:id="7"/>
      <w:r/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bookmarkEnd w:id="20"/>
      <w:r/>
      <w:bookmarkEnd w:id="21"/>
      <w:r/>
      <w:bookmarkEnd w:id="22"/>
      <w:r/>
      <w:bookmarkEnd w:id="23"/>
      <w:r/>
      <w:bookmarkEnd w:id="24"/>
      <w:r>
        <w:rPr>
          <w:b/>
        </w:rPr>
      </w:r>
      <w:r>
        <w:rPr>
          <w:b/>
        </w:rPr>
      </w:r>
    </w:p>
    <w:p>
      <w:pPr>
        <w:ind w:left="426" w:hanging="426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 xml:space="preserve">ОБРАЗЕЦ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Приложение №1.3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25"/>
        <w:ind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5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 xml:space="preserve">Требования к составлению сметной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5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5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5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дополнительному соглашению от ___ № 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5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от_______№_____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Сопоставительная ведомость изменения сметной стоимости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both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tbl>
      <w:tblPr>
        <w:tblW w:w="10206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>
        <w:tblPrEx/>
        <w:trPr>
          <w:trHeight w:val="433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п/п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W w:w="2977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Данные сметного расчета (сметы)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29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Сметная стоимость, тыс. руб.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Разница в сметной стоимости, руб.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Обоснование изменений сметной стоимости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425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шифр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позиции сметного расчета (сметы) в ССР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подлежащая включению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подлежащая исключению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2127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357"/>
        <w:jc w:val="right"/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35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№1.4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25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 xml:space="preserve">Требования к составлению сметной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5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5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дополнительному соглашению от ___ № 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5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pStyle w:val="102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Сопоставительная ведомость объемов работ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025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773" w:type="dxa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>
        <w:tblPrEx/>
        <w:trPr>
          <w:trHeight w:val="880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pStyle w:val="1025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№№ пп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4"/>
            <w:tcW w:w="3686" w:type="dxa"/>
            <w:textDirection w:val="lrTb"/>
            <w:noWrap w:val="false"/>
          </w:tcPr>
          <w:p>
            <w:pPr>
              <w:pStyle w:val="1025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25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25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Ед. изм.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pStyle w:val="1025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работ в сметной документации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6" w:type="dxa"/>
            <w:vMerge w:val="restart"/>
            <w:textDirection w:val="lrTb"/>
            <w:noWrap w:val="false"/>
          </w:tcPr>
          <w:p>
            <w:pPr>
              <w:pStyle w:val="1025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объемов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25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5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Примечание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207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25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шифр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1025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2126" w:type="dxa"/>
            <w:textDirection w:val="lrTb"/>
            <w:noWrap w:val="false"/>
          </w:tcPr>
          <w:p>
            <w:pPr>
              <w:pStyle w:val="1025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позиции в сметном расчете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308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25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25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25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25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25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5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25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снижение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32"/>
        </w:trPr>
        <w:tc>
          <w:tcPr>
            <w:tcW w:w="425" w:type="dxa"/>
            <w:textDirection w:val="lrTb"/>
            <w:noWrap w:val="false"/>
          </w:tcPr>
          <w:p>
            <w:pPr>
              <w:pStyle w:val="10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</w:tbl>
    <w:p>
      <w:pPr>
        <w:pStyle w:val="1025"/>
        <w:jc w:val="both"/>
        <w:sectPr>
          <w:footnotePr>
            <w:numRestart w:val="eachPage"/>
          </w:footnotePr>
          <w:endnotePr/>
          <w:type w:val="nextPage"/>
          <w:pgSz w:w="11906" w:h="16838" w:orient="portrait"/>
          <w:pgMar w:top="284" w:right="924" w:bottom="720" w:left="426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1025"/>
        <w:jc w:val="both"/>
      </w:pPr>
      <w:r/>
      <w:r/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Приложение№1.5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10348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>
        <w:rPr>
          <w:sz w:val="22"/>
          <w:szCs w:val="22"/>
        </w:rPr>
        <w:t xml:space="preserve">Требования к составлению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10348"/>
        <w:rPr>
          <w:b/>
          <w:color w:val="000000"/>
          <w:sz w:val="20"/>
          <w:szCs w:val="20"/>
        </w:rPr>
      </w:pPr>
      <w:r>
        <w:rPr>
          <w:sz w:val="22"/>
          <w:szCs w:val="22"/>
        </w:rPr>
        <w:t xml:space="preserve">сметной документации</w:t>
      </w:r>
      <w:r>
        <w:rPr>
          <w:sz w:val="22"/>
          <w:szCs w:val="22"/>
        </w:rPr>
        <w:t xml:space="preserve"> </w:t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ОБРАЗЕЦ</w:t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6"/>
        <w:gridCol w:w="1320"/>
        <w:gridCol w:w="692"/>
        <w:gridCol w:w="2821"/>
        <w:gridCol w:w="850"/>
        <w:gridCol w:w="1101"/>
        <w:gridCol w:w="666"/>
        <w:gridCol w:w="1044"/>
        <w:gridCol w:w="1085"/>
        <w:gridCol w:w="666"/>
        <w:gridCol w:w="1044"/>
        <w:gridCol w:w="508"/>
        <w:gridCol w:w="689"/>
        <w:gridCol w:w="2243"/>
      </w:tblGrid>
      <w:tr>
        <w:tblPrEx/>
        <w:trPr>
          <w:trHeight w:val="28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СОГЛАСОВАНО: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3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УТВЕРЖДАЮ: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81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3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3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____" _____________2021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2021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pct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программного продукта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5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ПК "ГРАНД-Смета 2021"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стройки)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объекта капитального строительства)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80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70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конструктивного решения)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методом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Основание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38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3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(проектная и (или) иная техническая документация)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ующих периоду выполнения работ по договору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том числе: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строительных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Средства на оплату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монтажных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чел.час.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оборудования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машинистов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чел.час.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прочих затрат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9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7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№ п/п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Обоснование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работ и затрат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Единица измерения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Сметная стоимость в базисном уровне цен (в текущем уровне цен (гр. 8) для ресурсов, отсутствующих в СНБ), 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Индексы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Сметная стоимость в текущем уровне цен, 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единицу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коэффициенты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всего с учетом коэффициентов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единицу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коэффициенты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всего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</w:tbl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426" w:right="253" w:bottom="924" w:left="720" w:header="709" w:footer="709" w:gutter="0"/>
          <w:cols w:num="1" w:sep="0" w:space="708" w:equalWidth="1"/>
          <w:docGrid w:linePitch="360"/>
        </w:sect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rPr>
          <w:b/>
        </w:rPr>
      </w:pPr>
      <w:r>
        <w:rPr>
          <w:b/>
        </w:rPr>
        <w:t xml:space="preserve">Образец расчета командировочных расходов </w:t>
      </w:r>
      <w:r>
        <w:rPr>
          <w:b/>
        </w:rPr>
      </w:r>
      <w:r>
        <w:rPr>
          <w:b/>
        </w:rPr>
      </w:r>
    </w:p>
    <w:p>
      <w:pPr>
        <w:ind w:hanging="567"/>
        <w:jc w:val="right"/>
      </w:pPr>
      <w:r>
        <w:t xml:space="preserve">Приложение № __ к смете № __</w:t>
      </w:r>
      <w:r/>
    </w:p>
    <w:p>
      <w:pPr>
        <w:ind w:hanging="567"/>
        <w:jc w:val="center"/>
        <w:rPr>
          <w:b/>
        </w:rPr>
      </w:pPr>
      <w:r>
        <w:rPr>
          <w:b/>
        </w:rPr>
        <w:t xml:space="preserve">Расчет командировочных расходов</w:t>
      </w:r>
      <w:r>
        <w:rPr>
          <w:b/>
        </w:rPr>
      </w:r>
      <w:r>
        <w:rPr>
          <w:b/>
        </w:rPr>
      </w:r>
    </w:p>
    <w:tbl>
      <w:tblPr>
        <w:tblW w:w="1066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42"/>
        <w:gridCol w:w="992"/>
        <w:gridCol w:w="709"/>
        <w:gridCol w:w="1276"/>
        <w:gridCol w:w="708"/>
        <w:gridCol w:w="1443"/>
        <w:gridCol w:w="1308"/>
        <w:gridCol w:w="935"/>
        <w:gridCol w:w="1134"/>
        <w:gridCol w:w="1559"/>
      </w:tblGrid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 п</w:t>
            </w:r>
            <w:r>
              <w:rPr>
                <w:lang w:val="en-US"/>
              </w:rPr>
              <w:t xml:space="preserve">/</w:t>
            </w:r>
            <w:r>
              <w:t xml:space="preserve">п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назначения </w:t>
            </w:r>
            <w:r>
              <w:rPr>
                <w:sz w:val="20"/>
                <w:szCs w:val="20"/>
              </w:rPr>
              <w:br/>
              <w:t xml:space="preserve">(туда / обратно)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транспорта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проезда, руб. 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дней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суточных, руб./сут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 xml:space="preserve">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проживания, руб./сут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br/>
              <w:t xml:space="preserve">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командировок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командированных человек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расходов, руб. </w:t>
            </w:r>
            <w:r>
              <w:rPr>
                <w:sz w:val="20"/>
                <w:szCs w:val="20"/>
              </w:rPr>
              <w:br/>
              <w:t xml:space="preserve">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0"/>
            <w:shd w:val="clear" w:color="auto" w:fill="auto"/>
            <w:tcW w:w="10206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1 в пункт 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1 в пункт 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2 в пункт 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…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</w:t>
            </w:r>
            <w:r/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4 в пункт 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 из пункта 1 в пункт 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17"/>
        </w:trPr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0"/>
            <w:shd w:val="clear" w:color="auto" w:fill="auto"/>
            <w:tcW w:w="10206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5 в пункт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5 в пункт 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7</w:t>
            </w:r>
            <w:r/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4 в пункт 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…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9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2 в пункт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 из пункта 5 в пункт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стоимость командировочных расходов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567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bCs/>
          <w:i/>
          <w:iCs/>
          <w:sz w:val="24"/>
          <w:szCs w:val="24"/>
          <w:shd w:val="clear" w:color="auto" w:fill="ffff99"/>
        </w:rPr>
      </w:pPr>
      <w:r>
        <w:object w:dxaOrig="1534" w:dyaOrig="993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" o:spid="_x0000_s4" type="#_x0000_t75" style="width:76.20pt;height:49.80pt;mso-wrap-distance-left:0.00pt;mso-wrap-distance-top:0.00pt;mso-wrap-distance-right:0.00pt;mso-wrap-distance-bottom:0.00pt;" filled="f" stroked="f">
            <v:path textboxrect="0,0,0,0"/>
            <v:imagedata r:id="rId20" o:title=""/>
          </v:shape>
          <o:OLEObject DrawAspect="Icon" ObjectID="_1525044" ProgID="Excel.Sheet.12" ShapeID="_x0000_i4" Type="Embed"/>
        </w:object>
      </w: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</w:p>
    <w:sectPr>
      <w:footnotePr/>
      <w:endnotePr/>
      <w:type w:val="nextPage"/>
      <w:pgSz w:w="11906" w:h="16838" w:orient="portrait"/>
      <w:pgMar w:top="568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6"/>
        <w:jc w:val="both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18</w:t>
    </w:r>
    <w:r>
      <w:fldChar w:fldCharType="end"/>
    </w:r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rPr>
        <w:rStyle w:val="974"/>
      </w:rPr>
      <w:framePr w:wrap="around" w:vAnchor="text" w:hAnchor="margin" w:xAlign="center" w:y="1"/>
    </w:pPr>
    <w:r>
      <w:rPr>
        <w:rStyle w:val="974"/>
      </w:rPr>
      <w:fldChar w:fldCharType="begin"/>
    </w:r>
    <w:r>
      <w:rPr>
        <w:rStyle w:val="974"/>
      </w:rPr>
      <w:instrText xml:space="preserve">PAGE  </w:instrText>
    </w:r>
    <w:r>
      <w:rPr>
        <w:rStyle w:val="974"/>
      </w:rPr>
      <w:fldChar w:fldCharType="separate"/>
    </w:r>
    <w:r>
      <w:rPr>
        <w:rStyle w:val="974"/>
      </w:rPr>
      <w:t xml:space="preserve">6</w:t>
    </w:r>
    <w:r>
      <w:rPr>
        <w:rStyle w:val="974"/>
      </w:rPr>
      <w:fldChar w:fldCharType="end"/>
    </w:r>
    <w:r>
      <w:rPr>
        <w:rStyle w:val="974"/>
      </w:rPr>
    </w:r>
    <w:r>
      <w:rPr>
        <w:rStyle w:val="974"/>
      </w:rPr>
    </w:r>
  </w:p>
  <w:p>
    <w:pPr>
      <w:pStyle w:val="962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55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34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41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42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45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43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44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pStyle w:val="95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55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94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4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4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3">
    <w:multiLevelType w:val="hybridMultilevel"/>
    <w:styleLink w:val="1035"/>
    <w:lvl w:ilvl="0">
      <w:start w:val="1"/>
      <w:numFmt w:val="decimal"/>
      <w:pStyle w:val="1035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67" w:hanging="279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30">
    <w:multiLevelType w:val="hybridMultilevel"/>
    <w:lvl w:ilvl="0">
      <w:start w:val="1"/>
      <w:numFmt w:val="decimal"/>
      <w:pStyle w:val="1053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1">
    <w:multiLevelType w:val="hybridMultilevel"/>
    <w:lvl w:ilvl="0">
      <w:start w:val="4"/>
      <w:numFmt w:val="bullet"/>
      <w:pStyle w:val="1022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23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21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</w:pPr>
    </w:lvl>
  </w:abstractNum>
  <w:abstractNum w:abstractNumId="35">
    <w:multiLevelType w:val="hybridMultilevel"/>
    <w:styleLink w:val="1031"/>
    <w:lvl w:ilvl="0">
      <w:start w:val="3"/>
      <w:numFmt w:val="decimal"/>
      <w:pStyle w:val="1031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</w:pPr>
      <w:rPr>
        <w:rFonts w:hint="default" w:ascii="Symbol" w:hAnsi="Symbo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31"/>
  </w:num>
  <w:num w:numId="3">
    <w:abstractNumId w:val="35"/>
  </w:num>
  <w:num w:numId="4">
    <w:abstractNumId w:val="21"/>
  </w:num>
  <w:num w:numId="5">
    <w:abstractNumId w:val="23"/>
  </w:num>
  <w:num w:numId="6">
    <w:abstractNumId w:val="11"/>
  </w:num>
  <w:num w:numId="7">
    <w:abstractNumId w:val="30"/>
  </w:num>
  <w:num w:numId="8">
    <w:abstractNumId w:val="9"/>
  </w:num>
  <w:num w:numId="9">
    <w:abstractNumId w:val="3"/>
  </w:num>
  <w:num w:numId="10">
    <w:abstractNumId w:val="16"/>
  </w:num>
  <w:num w:numId="11">
    <w:abstractNumId w:val="15"/>
  </w:num>
  <w:num w:numId="12">
    <w:abstractNumId w:val="33"/>
  </w:num>
  <w:num w:numId="13">
    <w:abstractNumId w:val="18"/>
  </w:num>
  <w:num w:numId="14">
    <w:abstractNumId w:val="8"/>
  </w:num>
  <w:num w:numId="15">
    <w:abstractNumId w:val="4"/>
  </w:num>
  <w:num w:numId="16">
    <w:abstractNumId w:val="25"/>
  </w:num>
  <w:num w:numId="17">
    <w:abstractNumId w:val="38"/>
  </w:num>
  <w:num w:numId="18">
    <w:abstractNumId w:val="36"/>
  </w:num>
  <w:num w:numId="19">
    <w:abstractNumId w:val="27"/>
  </w:num>
  <w:num w:numId="20">
    <w:abstractNumId w:val="34"/>
  </w:num>
  <w:num w:numId="21">
    <w:abstractNumId w:val="13"/>
  </w:num>
  <w:num w:numId="22">
    <w:abstractNumId w:val="14"/>
  </w:num>
  <w:num w:numId="23">
    <w:abstractNumId w:val="22"/>
  </w:num>
  <w:num w:numId="24">
    <w:abstractNumId w:val="29"/>
  </w:num>
  <w:num w:numId="25">
    <w:abstractNumId w:val="24"/>
  </w:num>
  <w:num w:numId="26">
    <w:abstractNumId w:val="7"/>
  </w:num>
  <w:num w:numId="27">
    <w:abstractNumId w:val="2"/>
  </w:num>
  <w:num w:numId="28">
    <w:abstractNumId w:val="26"/>
  </w:num>
  <w:num w:numId="29">
    <w:abstractNumId w:val="10"/>
  </w:num>
  <w:num w:numId="30">
    <w:abstractNumId w:val="17"/>
  </w:num>
  <w:num w:numId="31">
    <w:abstractNumId w:val="5"/>
  </w:num>
  <w:num w:numId="32">
    <w:abstractNumId w:val="32"/>
  </w:num>
  <w:num w:numId="33">
    <w:abstractNumId w:val="37"/>
  </w:num>
  <w:num w:numId="34">
    <w:abstractNumId w:val="12"/>
  </w:num>
  <w:num w:numId="35">
    <w:abstractNumId w:val="0"/>
  </w:num>
  <w:num w:numId="36">
    <w:abstractNumId w:val="28"/>
  </w:num>
  <w:num w:numId="37">
    <w:abstractNumId w:val="39"/>
  </w:num>
  <w:num w:numId="38">
    <w:abstractNumId w:val="6"/>
  </w:num>
  <w:num w:numId="39">
    <w:abstractNumId w:val="1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5">
    <w:name w:val="Heading 1 Char"/>
    <w:basedOn w:val="950"/>
    <w:link w:val="941"/>
    <w:uiPriority w:val="9"/>
    <w:rPr>
      <w:rFonts w:ascii="Arial" w:hAnsi="Arial" w:eastAsia="Arial" w:cs="Arial"/>
      <w:sz w:val="40"/>
      <w:szCs w:val="40"/>
    </w:rPr>
  </w:style>
  <w:style w:type="character" w:styleId="796">
    <w:name w:val="Heading 2 Char"/>
    <w:basedOn w:val="950"/>
    <w:link w:val="942"/>
    <w:uiPriority w:val="9"/>
    <w:rPr>
      <w:rFonts w:ascii="Arial" w:hAnsi="Arial" w:eastAsia="Arial" w:cs="Arial"/>
      <w:sz w:val="34"/>
    </w:rPr>
  </w:style>
  <w:style w:type="character" w:styleId="797">
    <w:name w:val="Heading 3 Char"/>
    <w:basedOn w:val="950"/>
    <w:link w:val="943"/>
    <w:uiPriority w:val="9"/>
    <w:rPr>
      <w:rFonts w:ascii="Arial" w:hAnsi="Arial" w:eastAsia="Arial" w:cs="Arial"/>
      <w:sz w:val="30"/>
      <w:szCs w:val="30"/>
    </w:rPr>
  </w:style>
  <w:style w:type="character" w:styleId="798">
    <w:name w:val="Heading 4 Char"/>
    <w:basedOn w:val="950"/>
    <w:link w:val="944"/>
    <w:uiPriority w:val="9"/>
    <w:rPr>
      <w:rFonts w:ascii="Arial" w:hAnsi="Arial" w:eastAsia="Arial" w:cs="Arial"/>
      <w:b/>
      <w:bCs/>
      <w:sz w:val="26"/>
      <w:szCs w:val="26"/>
    </w:rPr>
  </w:style>
  <w:style w:type="character" w:styleId="799">
    <w:name w:val="Heading 5 Char"/>
    <w:basedOn w:val="950"/>
    <w:link w:val="945"/>
    <w:uiPriority w:val="9"/>
    <w:rPr>
      <w:rFonts w:ascii="Arial" w:hAnsi="Arial" w:eastAsia="Arial" w:cs="Arial"/>
      <w:b/>
      <w:bCs/>
      <w:sz w:val="24"/>
      <w:szCs w:val="24"/>
    </w:rPr>
  </w:style>
  <w:style w:type="character" w:styleId="800">
    <w:name w:val="Heading 6 Char"/>
    <w:basedOn w:val="950"/>
    <w:link w:val="946"/>
    <w:uiPriority w:val="9"/>
    <w:rPr>
      <w:rFonts w:ascii="Arial" w:hAnsi="Arial" w:eastAsia="Arial" w:cs="Arial"/>
      <w:b/>
      <w:bCs/>
      <w:sz w:val="22"/>
      <w:szCs w:val="22"/>
    </w:rPr>
  </w:style>
  <w:style w:type="character" w:styleId="801">
    <w:name w:val="Heading 7 Char"/>
    <w:basedOn w:val="950"/>
    <w:link w:val="9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2">
    <w:name w:val="Heading 8 Char"/>
    <w:basedOn w:val="950"/>
    <w:link w:val="948"/>
    <w:uiPriority w:val="9"/>
    <w:rPr>
      <w:rFonts w:ascii="Arial" w:hAnsi="Arial" w:eastAsia="Arial" w:cs="Arial"/>
      <w:i/>
      <w:iCs/>
      <w:sz w:val="22"/>
      <w:szCs w:val="22"/>
    </w:rPr>
  </w:style>
  <w:style w:type="character" w:styleId="803">
    <w:name w:val="Heading 9 Char"/>
    <w:basedOn w:val="950"/>
    <w:link w:val="949"/>
    <w:uiPriority w:val="9"/>
    <w:rPr>
      <w:rFonts w:ascii="Arial" w:hAnsi="Arial" w:eastAsia="Arial" w:cs="Arial"/>
      <w:i/>
      <w:iCs/>
      <w:sz w:val="21"/>
      <w:szCs w:val="21"/>
    </w:rPr>
  </w:style>
  <w:style w:type="paragraph" w:styleId="804">
    <w:name w:val="Title"/>
    <w:basedOn w:val="940"/>
    <w:next w:val="940"/>
    <w:link w:val="8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5">
    <w:name w:val="Title Char"/>
    <w:basedOn w:val="950"/>
    <w:link w:val="804"/>
    <w:uiPriority w:val="10"/>
    <w:rPr>
      <w:sz w:val="48"/>
      <w:szCs w:val="48"/>
    </w:rPr>
  </w:style>
  <w:style w:type="character" w:styleId="806">
    <w:name w:val="Subtitle Char"/>
    <w:basedOn w:val="950"/>
    <w:link w:val="1004"/>
    <w:uiPriority w:val="11"/>
    <w:rPr>
      <w:sz w:val="24"/>
      <w:szCs w:val="24"/>
    </w:rPr>
  </w:style>
  <w:style w:type="character" w:styleId="807">
    <w:name w:val="Quote Char"/>
    <w:link w:val="1008"/>
    <w:uiPriority w:val="29"/>
    <w:rPr>
      <w:i/>
    </w:rPr>
  </w:style>
  <w:style w:type="character" w:styleId="808">
    <w:name w:val="Intense Quote Char"/>
    <w:link w:val="1010"/>
    <w:uiPriority w:val="30"/>
    <w:rPr>
      <w:i/>
    </w:rPr>
  </w:style>
  <w:style w:type="character" w:styleId="809">
    <w:name w:val="Header Char"/>
    <w:basedOn w:val="950"/>
    <w:link w:val="962"/>
    <w:uiPriority w:val="99"/>
  </w:style>
  <w:style w:type="character" w:styleId="810">
    <w:name w:val="Footer Char"/>
    <w:basedOn w:val="950"/>
    <w:link w:val="965"/>
    <w:uiPriority w:val="99"/>
  </w:style>
  <w:style w:type="character" w:styleId="811">
    <w:name w:val="Caption Char"/>
    <w:basedOn w:val="1002"/>
    <w:link w:val="965"/>
    <w:uiPriority w:val="99"/>
  </w:style>
  <w:style w:type="table" w:styleId="812">
    <w:name w:val="Table Grid Light"/>
    <w:basedOn w:val="9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3">
    <w:name w:val="Plain Table 1"/>
    <w:basedOn w:val="9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4">
    <w:name w:val="Plain Table 2"/>
    <w:basedOn w:val="9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5">
    <w:name w:val="Plain Table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6">
    <w:name w:val="Plain Table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Plain Table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8">
    <w:name w:val="Grid Table 1 Light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4"/>
    <w:basedOn w:val="9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0">
    <w:name w:val="Grid Table 4 - Accent 1"/>
    <w:basedOn w:val="9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1">
    <w:name w:val="Grid Table 4 - Accent 2"/>
    <w:basedOn w:val="9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2">
    <w:name w:val="Grid Table 4 - Accent 3"/>
    <w:basedOn w:val="9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3">
    <w:name w:val="Grid Table 4 - Accent 4"/>
    <w:basedOn w:val="9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4">
    <w:name w:val="Grid Table 4 - Accent 5"/>
    <w:basedOn w:val="9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5">
    <w:name w:val="Grid Table 4 - Accent 6"/>
    <w:basedOn w:val="9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6">
    <w:name w:val="Grid Table 5 Dark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7">
    <w:name w:val="Grid Table 5 Dark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48">
    <w:name w:val="Grid Table 5 Dark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0">
    <w:name w:val="Grid Table 5 Dark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51">
    <w:name w:val="Grid Table 5 Dark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52">
    <w:name w:val="Grid Table 5 Dark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53">
    <w:name w:val="Grid Table 6 Colorful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4">
    <w:name w:val="Grid Table 6 Colorful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5">
    <w:name w:val="Grid Table 6 Colorful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6">
    <w:name w:val="Grid Table 6 Colorful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7">
    <w:name w:val="Grid Table 6 Colorful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8">
    <w:name w:val="Grid Table 6 Colorful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9">
    <w:name w:val="Grid Table 6 Colorful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0">
    <w:name w:val="Grid Table 7 Colorful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5">
    <w:name w:val="List Table 2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6">
    <w:name w:val="List Table 2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7">
    <w:name w:val="List Table 2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8">
    <w:name w:val="List Table 2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9">
    <w:name w:val="List Table 2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0">
    <w:name w:val="List Table 2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1">
    <w:name w:val="List Table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5 Dark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5 Dark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6 Colorful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3">
    <w:name w:val="List Table 6 Colorful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4">
    <w:name w:val="List Table 6 Colorful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5">
    <w:name w:val="List Table 6 Colorful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6">
    <w:name w:val="List Table 6 Colorful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7">
    <w:name w:val="List Table 6 Colorful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8">
    <w:name w:val="List Table 6 Colorful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9">
    <w:name w:val="List Table 7 Colorful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0">
    <w:name w:val="List Table 7 Colorful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11">
    <w:name w:val="List Table 7 Colorful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12">
    <w:name w:val="List Table 7 Colorful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13">
    <w:name w:val="List Table 7 Colorful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14">
    <w:name w:val="List Table 7 Colorful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15">
    <w:name w:val="List Table 7 Colorful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16">
    <w:name w:val="Lined - Accent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7">
    <w:name w:val="Lined - Accent 1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18">
    <w:name w:val="Lined - Accent 2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9">
    <w:name w:val="Lined - Accent 3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20">
    <w:name w:val="Lined - Accent 4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1">
    <w:name w:val="Lined - Accent 5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22">
    <w:name w:val="Lined - Accent 6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3">
    <w:name w:val="Bordered &amp; Lined - Accent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4">
    <w:name w:val="Bordered &amp; Lined - Accent 1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25">
    <w:name w:val="Bordered &amp; Lined - Accent 2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26">
    <w:name w:val="Bordered &amp; Lined - Accent 3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27">
    <w:name w:val="Bordered &amp; Lined - Accent 4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8">
    <w:name w:val="Bordered &amp; Lined - Accent 5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29">
    <w:name w:val="Bordered &amp; Lined - Accent 6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30">
    <w:name w:val="Bordered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1">
    <w:name w:val="Bordered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2">
    <w:name w:val="Bordered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3">
    <w:name w:val="Bordered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4">
    <w:name w:val="Bordered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5">
    <w:name w:val="Bordered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6">
    <w:name w:val="Bordered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7">
    <w:name w:val="Footnote Text Char"/>
    <w:link w:val="956"/>
    <w:uiPriority w:val="99"/>
    <w:rPr>
      <w:sz w:val="18"/>
    </w:rPr>
  </w:style>
  <w:style w:type="character" w:styleId="938">
    <w:name w:val="Endnote Text Char"/>
    <w:link w:val="1050"/>
    <w:uiPriority w:val="99"/>
    <w:rPr>
      <w:sz w:val="20"/>
    </w:rPr>
  </w:style>
  <w:style w:type="paragraph" w:styleId="939">
    <w:name w:val="table of figures"/>
    <w:basedOn w:val="940"/>
    <w:next w:val="940"/>
    <w:uiPriority w:val="99"/>
    <w:unhideWhenUsed/>
    <w:pPr>
      <w:spacing w:after="0" w:afterAutospacing="0"/>
    </w:pPr>
  </w:style>
  <w:style w:type="paragraph" w:styleId="940" w:default="1">
    <w:name w:val="Normal"/>
    <w:qFormat/>
    <w:rPr>
      <w:sz w:val="28"/>
      <w:szCs w:val="28"/>
    </w:rPr>
  </w:style>
  <w:style w:type="paragraph" w:styleId="941">
    <w:name w:val="Heading 1"/>
    <w:basedOn w:val="943"/>
    <w:next w:val="940"/>
    <w:link w:val="994"/>
    <w:qFormat/>
    <w:pPr>
      <w:numPr>
        <w:ilvl w:val="0"/>
      </w:numPr>
      <w:outlineLvl w:val="0"/>
    </w:pPr>
    <w:rPr>
      <w:sz w:val="28"/>
      <w:szCs w:val="28"/>
    </w:rPr>
  </w:style>
  <w:style w:type="paragraph" w:styleId="942">
    <w:name w:val="Heading 2"/>
    <w:basedOn w:val="944"/>
    <w:next w:val="940"/>
    <w:link w:val="996"/>
    <w:qFormat/>
    <w:pPr>
      <w:outlineLvl w:val="1"/>
    </w:pPr>
  </w:style>
  <w:style w:type="paragraph" w:styleId="943">
    <w:name w:val="Heading 3"/>
    <w:basedOn w:val="940"/>
    <w:next w:val="940"/>
    <w:link w:val="997"/>
    <w:qFormat/>
    <w:pPr>
      <w:numPr>
        <w:ilvl w:val="2"/>
        <w:numId w:val="4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944">
    <w:name w:val="Heading 4"/>
    <w:basedOn w:val="943"/>
    <w:next w:val="940"/>
    <w:link w:val="998"/>
    <w:qFormat/>
    <w:pPr>
      <w:numPr>
        <w:ilvl w:val="1"/>
      </w:numPr>
      <w:outlineLvl w:val="3"/>
    </w:pPr>
    <w:rPr>
      <w:bCs/>
    </w:rPr>
  </w:style>
  <w:style w:type="paragraph" w:styleId="945">
    <w:name w:val="Heading 5"/>
    <w:basedOn w:val="940"/>
    <w:next w:val="940"/>
    <w:link w:val="999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46">
    <w:name w:val="Heading 6"/>
    <w:basedOn w:val="940"/>
    <w:next w:val="940"/>
    <w:link w:val="991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47">
    <w:name w:val="Heading 7"/>
    <w:basedOn w:val="940"/>
    <w:next w:val="940"/>
    <w:link w:val="992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48">
    <w:name w:val="Heading 8"/>
    <w:basedOn w:val="940"/>
    <w:next w:val="940"/>
    <w:link w:val="993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49">
    <w:name w:val="Heading 9"/>
    <w:basedOn w:val="940"/>
    <w:next w:val="940"/>
    <w:link w:val="100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50" w:default="1">
    <w:name w:val="Default Paragraph Font"/>
    <w:uiPriority w:val="1"/>
    <w:semiHidden/>
    <w:unhideWhenUsed/>
  </w:style>
  <w:style w:type="table" w:styleId="9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2" w:default="1">
    <w:name w:val="No List"/>
    <w:uiPriority w:val="99"/>
    <w:semiHidden/>
    <w:unhideWhenUsed/>
  </w:style>
  <w:style w:type="paragraph" w:styleId="953" w:customStyle="1">
    <w:name w:val="Название раздела инструкции"/>
    <w:basedOn w:val="940"/>
    <w:pPr>
      <w:jc w:val="center"/>
    </w:pPr>
    <w:rPr>
      <w:b/>
    </w:rPr>
  </w:style>
  <w:style w:type="paragraph" w:styleId="954" w:customStyle="1">
    <w:name w:val="Раздел положения"/>
    <w:basedOn w:val="940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55" w:customStyle="1">
    <w:name w:val="Подраздел раздела положения"/>
    <w:basedOn w:val="940"/>
    <w:pPr>
      <w:numPr>
        <w:ilvl w:val="1"/>
        <w:numId w:val="1"/>
      </w:numPr>
      <w:jc w:val="both"/>
      <w:spacing w:before="80" w:after="80"/>
    </w:pPr>
  </w:style>
  <w:style w:type="paragraph" w:styleId="956">
    <w:name w:val="footnote text"/>
    <w:basedOn w:val="940"/>
    <w:link w:val="1030"/>
    <w:uiPriority w:val="99"/>
    <w:rPr>
      <w:sz w:val="20"/>
      <w:szCs w:val="20"/>
    </w:rPr>
  </w:style>
  <w:style w:type="character" w:styleId="957">
    <w:name w:val="footnote reference"/>
    <w:uiPriority w:val="99"/>
    <w:rPr>
      <w:vertAlign w:val="superscript"/>
    </w:rPr>
  </w:style>
  <w:style w:type="paragraph" w:styleId="958" w:customStyle="1">
    <w:name w:val="Шапка 1"/>
    <w:basedOn w:val="94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59" w:customStyle="1">
    <w:name w:val="Шапка 2"/>
    <w:basedOn w:val="94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60" w:customStyle="1">
    <w:name w:val="Шапка 3"/>
    <w:basedOn w:val="94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61" w:customStyle="1">
    <w:name w:val="Название1"/>
    <w:basedOn w:val="940"/>
    <w:link w:val="1003"/>
    <w:uiPriority w:val="10"/>
    <w:qFormat/>
    <w:pPr>
      <w:jc w:val="center"/>
    </w:pPr>
    <w:rPr>
      <w:szCs w:val="20"/>
    </w:rPr>
  </w:style>
  <w:style w:type="paragraph" w:styleId="962">
    <w:name w:val="Header"/>
    <w:basedOn w:val="940"/>
    <w:link w:val="1047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63">
    <w:name w:val="Body Text Indent"/>
    <w:basedOn w:val="940"/>
    <w:pPr>
      <w:ind w:left="360"/>
    </w:pPr>
    <w:rPr>
      <w:sz w:val="24"/>
      <w:szCs w:val="24"/>
    </w:rPr>
  </w:style>
  <w:style w:type="table" w:styleId="964">
    <w:name w:val="Table Grid"/>
    <w:basedOn w:val="95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5">
    <w:name w:val="Footer"/>
    <w:basedOn w:val="940"/>
    <w:pPr>
      <w:tabs>
        <w:tab w:val="center" w:pos="4677" w:leader="none"/>
        <w:tab w:val="right" w:pos="9355" w:leader="none"/>
      </w:tabs>
    </w:pPr>
  </w:style>
  <w:style w:type="paragraph" w:styleId="966">
    <w:name w:val="Body Text"/>
    <w:basedOn w:val="940"/>
    <w:link w:val="1033"/>
    <w:pPr>
      <w:spacing w:after="120"/>
    </w:pPr>
  </w:style>
  <w:style w:type="paragraph" w:styleId="967">
    <w:name w:val="Body Text Indent 2"/>
    <w:basedOn w:val="940"/>
    <w:pPr>
      <w:ind w:left="283"/>
      <w:spacing w:after="120" w:line="480" w:lineRule="auto"/>
    </w:pPr>
  </w:style>
  <w:style w:type="paragraph" w:styleId="968">
    <w:name w:val="Body Text 3"/>
    <w:basedOn w:val="940"/>
    <w:pPr>
      <w:spacing w:after="120"/>
    </w:pPr>
    <w:rPr>
      <w:sz w:val="16"/>
      <w:szCs w:val="16"/>
    </w:rPr>
  </w:style>
  <w:style w:type="paragraph" w:styleId="969">
    <w:name w:val="Body Text Indent 3"/>
    <w:basedOn w:val="940"/>
    <w:link w:val="1064"/>
    <w:pPr>
      <w:ind w:left="283"/>
      <w:spacing w:after="120"/>
    </w:pPr>
    <w:rPr>
      <w:sz w:val="16"/>
      <w:szCs w:val="16"/>
    </w:rPr>
  </w:style>
  <w:style w:type="paragraph" w:styleId="970">
    <w:name w:val="Body Text 2"/>
    <w:basedOn w:val="940"/>
    <w:pPr>
      <w:spacing w:after="120" w:line="480" w:lineRule="auto"/>
    </w:pPr>
  </w:style>
  <w:style w:type="paragraph" w:styleId="971">
    <w:name w:val="Block Text"/>
    <w:basedOn w:val="940"/>
    <w:pPr>
      <w:ind w:left="-567" w:right="-766"/>
      <w:jc w:val="center"/>
    </w:pPr>
    <w:rPr>
      <w:b/>
      <w:bCs/>
      <w:sz w:val="24"/>
      <w:szCs w:val="20"/>
    </w:rPr>
  </w:style>
  <w:style w:type="paragraph" w:styleId="972" w:customStyle="1">
    <w:name w:val="Подпункт"/>
    <w:basedOn w:val="940"/>
    <w:link w:val="1028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73" w:customStyle="1">
    <w:name w:val="Пункт2"/>
    <w:basedOn w:val="940"/>
    <w:link w:val="1054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74">
    <w:name w:val="page number"/>
    <w:basedOn w:val="950"/>
  </w:style>
  <w:style w:type="paragraph" w:styleId="975">
    <w:name w:val="toc 1"/>
    <w:basedOn w:val="940"/>
    <w:next w:val="940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76">
    <w:name w:val="toc 3"/>
    <w:basedOn w:val="940"/>
    <w:next w:val="940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977">
    <w:name w:val="Hyperlink"/>
    <w:uiPriority w:val="99"/>
    <w:rPr>
      <w:color w:val="0000ff"/>
      <w:u w:val="single"/>
    </w:rPr>
  </w:style>
  <w:style w:type="paragraph" w:styleId="978" w:customStyle="1">
    <w:name w:val="Раздел регламента"/>
    <w:basedOn w:val="940"/>
  </w:style>
  <w:style w:type="paragraph" w:styleId="979" w:customStyle="1">
    <w:name w:val="Приложение к регламенту"/>
    <w:basedOn w:val="940"/>
    <w:pPr>
      <w:jc w:val="right"/>
    </w:pPr>
  </w:style>
  <w:style w:type="paragraph" w:styleId="980">
    <w:name w:val="toc 2"/>
    <w:basedOn w:val="940"/>
    <w:next w:val="940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81">
    <w:name w:val="Balloon Text"/>
    <w:basedOn w:val="940"/>
    <w:semiHidden/>
    <w:rPr>
      <w:rFonts w:ascii="Tahoma" w:hAnsi="Tahoma" w:cs="Tahoma"/>
      <w:sz w:val="16"/>
      <w:szCs w:val="16"/>
    </w:rPr>
  </w:style>
  <w:style w:type="character" w:styleId="982">
    <w:name w:val="annotation reference"/>
    <w:rPr>
      <w:sz w:val="16"/>
      <w:szCs w:val="16"/>
    </w:rPr>
  </w:style>
  <w:style w:type="paragraph" w:styleId="983">
    <w:name w:val="annotation text"/>
    <w:basedOn w:val="940"/>
    <w:link w:val="1048"/>
    <w:rPr>
      <w:sz w:val="20"/>
      <w:szCs w:val="20"/>
    </w:rPr>
  </w:style>
  <w:style w:type="paragraph" w:styleId="984">
    <w:name w:val="annotation subject"/>
    <w:basedOn w:val="983"/>
    <w:next w:val="983"/>
    <w:semiHidden/>
    <w:rPr>
      <w:b/>
      <w:bCs/>
    </w:rPr>
  </w:style>
  <w:style w:type="paragraph" w:styleId="985" w:customStyle="1">
    <w:name w:val="Обычный (веб)1"/>
    <w:basedOn w:val="94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86">
    <w:name w:val="toc 9"/>
    <w:basedOn w:val="940"/>
    <w:next w:val="940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87">
    <w:name w:val="toc 5"/>
    <w:basedOn w:val="940"/>
    <w:next w:val="940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88">
    <w:name w:val="toc 4"/>
    <w:basedOn w:val="940"/>
    <w:next w:val="940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989" w:customStyle="1">
    <w:name w:val="Раздел положения 2"/>
    <w:basedOn w:val="940"/>
    <w:pPr>
      <w:jc w:val="both"/>
      <w:pageBreakBefore/>
      <w:outlineLvl w:val="0"/>
    </w:pPr>
    <w:rPr>
      <w:b/>
    </w:rPr>
  </w:style>
  <w:style w:type="character" w:styleId="990">
    <w:name w:val="Strong"/>
    <w:qFormat/>
    <w:rPr>
      <w:b/>
      <w:bCs/>
    </w:rPr>
  </w:style>
  <w:style w:type="character" w:styleId="991" w:customStyle="1">
    <w:name w:val="Заголовок 6 Знак"/>
    <w:link w:val="946"/>
    <w:uiPriority w:val="9"/>
    <w:rPr>
      <w:rFonts w:ascii="Cambria" w:hAnsi="Cambria"/>
      <w:i/>
      <w:iCs/>
      <w:color w:val="243f60"/>
    </w:rPr>
  </w:style>
  <w:style w:type="character" w:styleId="992" w:customStyle="1">
    <w:name w:val="Заголовок 7 Знак"/>
    <w:link w:val="947"/>
    <w:uiPriority w:val="9"/>
    <w:rPr>
      <w:rFonts w:ascii="Cambria" w:hAnsi="Cambria"/>
      <w:i/>
      <w:iCs/>
      <w:color w:val="404040"/>
    </w:rPr>
  </w:style>
  <w:style w:type="character" w:styleId="993" w:customStyle="1">
    <w:name w:val="Заголовок 8 Знак"/>
    <w:link w:val="948"/>
    <w:uiPriority w:val="9"/>
    <w:rPr>
      <w:rFonts w:ascii="Cambria" w:hAnsi="Cambria"/>
      <w:color w:val="4f81bd"/>
    </w:rPr>
  </w:style>
  <w:style w:type="character" w:styleId="994" w:customStyle="1">
    <w:name w:val="Заголовок 1 Знак"/>
    <w:link w:val="941"/>
    <w:rPr>
      <w:rFonts w:eastAsia="Calibri"/>
      <w:b/>
      <w:sz w:val="28"/>
      <w:szCs w:val="28"/>
    </w:rPr>
  </w:style>
  <w:style w:type="paragraph" w:styleId="995" w:customStyle="1">
    <w:name w:val="Знак Знак Знак Знак Знак Знак Знак Знак Знак"/>
    <w:basedOn w:val="9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96" w:customStyle="1">
    <w:name w:val="Заголовок 2 Знак"/>
    <w:link w:val="942"/>
    <w:rPr>
      <w:rFonts w:eastAsia="Calibri"/>
      <w:b/>
      <w:bCs/>
      <w:sz w:val="24"/>
      <w:szCs w:val="24"/>
    </w:rPr>
  </w:style>
  <w:style w:type="character" w:styleId="997" w:customStyle="1">
    <w:name w:val="Заголовок 3 Знак"/>
    <w:link w:val="943"/>
    <w:rPr>
      <w:rFonts w:eastAsia="Calibri"/>
      <w:b/>
      <w:sz w:val="24"/>
      <w:szCs w:val="24"/>
    </w:rPr>
  </w:style>
  <w:style w:type="character" w:styleId="998" w:customStyle="1">
    <w:name w:val="Заголовок 4 Знак"/>
    <w:link w:val="944"/>
    <w:rPr>
      <w:rFonts w:eastAsia="Calibri"/>
      <w:b/>
      <w:bCs/>
      <w:sz w:val="24"/>
      <w:szCs w:val="24"/>
    </w:rPr>
  </w:style>
  <w:style w:type="character" w:styleId="999" w:customStyle="1">
    <w:name w:val="Заголовок 5 Знак"/>
    <w:link w:val="945"/>
    <w:uiPriority w:val="9"/>
    <w:rPr>
      <w:b/>
      <w:bCs/>
      <w:i/>
      <w:iCs/>
      <w:sz w:val="26"/>
      <w:szCs w:val="26"/>
    </w:rPr>
  </w:style>
  <w:style w:type="character" w:styleId="1000" w:customStyle="1">
    <w:name w:val="Заголовок 9 Знак"/>
    <w:link w:val="949"/>
    <w:uiPriority w:val="9"/>
    <w:rPr>
      <w:rFonts w:ascii="Arial" w:hAnsi="Arial" w:cs="Arial"/>
      <w:sz w:val="22"/>
      <w:szCs w:val="22"/>
    </w:rPr>
  </w:style>
  <w:style w:type="paragraph" w:styleId="1001">
    <w:name w:val="No Spacing"/>
    <w:basedOn w:val="94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02">
    <w:name w:val="Caption"/>
    <w:basedOn w:val="940"/>
    <w:next w:val="940"/>
    <w:link w:val="811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03" w:customStyle="1">
    <w:name w:val="Название Знак"/>
    <w:link w:val="961"/>
    <w:uiPriority w:val="10"/>
    <w:rPr>
      <w:sz w:val="28"/>
    </w:rPr>
  </w:style>
  <w:style w:type="paragraph" w:styleId="1004">
    <w:name w:val="Subtitle"/>
    <w:basedOn w:val="940"/>
    <w:next w:val="940"/>
    <w:link w:val="1005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05" w:customStyle="1">
    <w:name w:val="Подзаголовок Знак"/>
    <w:link w:val="1004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06">
    <w:name w:val="Emphasis"/>
    <w:uiPriority w:val="20"/>
    <w:qFormat/>
    <w:rPr>
      <w:i/>
      <w:iCs/>
    </w:rPr>
  </w:style>
  <w:style w:type="paragraph" w:styleId="1007">
    <w:name w:val="List Paragraph"/>
    <w:basedOn w:val="940"/>
    <w:link w:val="1037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08">
    <w:name w:val="Quote"/>
    <w:basedOn w:val="940"/>
    <w:next w:val="940"/>
    <w:link w:val="1009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09" w:customStyle="1">
    <w:name w:val="Цитата 2 Знак"/>
    <w:link w:val="1008"/>
    <w:uiPriority w:val="29"/>
    <w:rPr>
      <w:rFonts w:ascii="Calibri" w:hAnsi="Calibri" w:eastAsia="Calibri"/>
      <w:i/>
      <w:iCs/>
      <w:color w:val="000000"/>
    </w:rPr>
  </w:style>
  <w:style w:type="paragraph" w:styleId="1010">
    <w:name w:val="Intense Quote"/>
    <w:basedOn w:val="940"/>
    <w:next w:val="940"/>
    <w:link w:val="1011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11" w:customStyle="1">
    <w:name w:val="Выделенная цитата Знак"/>
    <w:link w:val="1010"/>
    <w:uiPriority w:val="30"/>
    <w:rPr>
      <w:rFonts w:ascii="Calibri" w:hAnsi="Calibri" w:eastAsia="Calibri"/>
      <w:b/>
      <w:bCs/>
      <w:i/>
      <w:iCs/>
      <w:color w:val="4f81bd"/>
    </w:rPr>
  </w:style>
  <w:style w:type="character" w:styleId="1012">
    <w:name w:val="Subtle Emphasis"/>
    <w:uiPriority w:val="19"/>
    <w:qFormat/>
    <w:rPr>
      <w:i/>
      <w:iCs/>
      <w:color w:val="808080"/>
    </w:rPr>
  </w:style>
  <w:style w:type="character" w:styleId="1013">
    <w:name w:val="Intense Emphasis"/>
    <w:uiPriority w:val="21"/>
    <w:qFormat/>
    <w:rPr>
      <w:b/>
      <w:bCs/>
      <w:i/>
      <w:iCs/>
      <w:color w:val="4f81bd"/>
    </w:rPr>
  </w:style>
  <w:style w:type="character" w:styleId="1014">
    <w:name w:val="Subtle Reference"/>
    <w:uiPriority w:val="31"/>
    <w:qFormat/>
    <w:rPr>
      <w:smallCaps/>
      <w:color w:val="c0504d"/>
      <w:u w:val="single"/>
    </w:rPr>
  </w:style>
  <w:style w:type="character" w:styleId="1015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16">
    <w:name w:val="Book Title"/>
    <w:uiPriority w:val="33"/>
    <w:qFormat/>
    <w:rPr>
      <w:b/>
      <w:bCs/>
      <w:smallCaps/>
      <w:spacing w:val="5"/>
    </w:rPr>
  </w:style>
  <w:style w:type="paragraph" w:styleId="1017">
    <w:name w:val="TOC Heading"/>
    <w:basedOn w:val="941"/>
    <w:next w:val="94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18">
    <w:name w:val="E-mail Signature"/>
    <w:basedOn w:val="940"/>
    <w:link w:val="1019"/>
    <w:uiPriority w:val="99"/>
    <w:unhideWhenUsed/>
    <w:rPr>
      <w:rFonts w:eastAsia="Calibri"/>
      <w:sz w:val="24"/>
      <w:szCs w:val="24"/>
    </w:rPr>
  </w:style>
  <w:style w:type="character" w:styleId="1019" w:customStyle="1">
    <w:name w:val="Электронная подпись Знак"/>
    <w:link w:val="1018"/>
    <w:uiPriority w:val="99"/>
    <w:rPr>
      <w:rFonts w:eastAsia="Calibri"/>
      <w:sz w:val="24"/>
      <w:szCs w:val="24"/>
    </w:rPr>
  </w:style>
  <w:style w:type="paragraph" w:styleId="1020" w:customStyle="1">
    <w:name w:val="Знак"/>
    <w:basedOn w:val="9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1" w:customStyle="1">
    <w:name w:val="Нумерованный список ур3"/>
    <w:basedOn w:val="94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22" w:customStyle="1">
    <w:name w:val="Нумерованный список 1"/>
    <w:basedOn w:val="94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23" w:customStyle="1">
    <w:name w:val="Нумерованный список ур2"/>
    <w:basedOn w:val="94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24">
    <w:name w:val="Revision"/>
    <w:hidden/>
    <w:uiPriority w:val="99"/>
    <w:semiHidden/>
    <w:rPr>
      <w:rFonts w:eastAsia="Calibri"/>
      <w:sz w:val="24"/>
      <w:szCs w:val="24"/>
    </w:rPr>
  </w:style>
  <w:style w:type="paragraph" w:styleId="1025" w:customStyle="1">
    <w:name w:val="ConsPlusNormal"/>
    <w:link w:val="1067"/>
    <w:pPr>
      <w:ind w:firstLine="720"/>
      <w:widowControl w:val="off"/>
    </w:pPr>
    <w:rPr>
      <w:rFonts w:ascii="Arial" w:hAnsi="Arial" w:cs="Arial"/>
    </w:rPr>
  </w:style>
  <w:style w:type="paragraph" w:styleId="1026" w:customStyle="1">
    <w:name w:val="Знак Знак3 Знак Знак"/>
    <w:basedOn w:val="9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27" w:customStyle="1">
    <w:name w:val="Пункт"/>
    <w:basedOn w:val="94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28" w:customStyle="1">
    <w:name w:val="Подпункт Знак1"/>
    <w:link w:val="972"/>
    <w:rPr>
      <w:sz w:val="28"/>
    </w:rPr>
  </w:style>
  <w:style w:type="paragraph" w:styleId="1029" w:customStyle="1">
    <w:name w:val="Абзац списка1"/>
    <w:basedOn w:val="94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30" w:customStyle="1">
    <w:name w:val="Текст сноски Знак"/>
    <w:link w:val="956"/>
    <w:uiPriority w:val="99"/>
  </w:style>
  <w:style w:type="numbering" w:styleId="1031" w:customStyle="1">
    <w:name w:val="Стиль1"/>
    <w:uiPriority w:val="99"/>
    <w:pPr>
      <w:numPr>
        <w:ilvl w:val="0"/>
        <w:numId w:val="3"/>
      </w:numPr>
    </w:pPr>
  </w:style>
  <w:style w:type="paragraph" w:styleId="1032" w:customStyle="1">
    <w:name w:val="Таблица"/>
    <w:basedOn w:val="94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33" w:customStyle="1">
    <w:name w:val="Основной текст Знак"/>
    <w:link w:val="966"/>
    <w:rPr>
      <w:sz w:val="28"/>
      <w:szCs w:val="28"/>
    </w:rPr>
  </w:style>
  <w:style w:type="character" w:styleId="1034" w:customStyle="1">
    <w:name w:val="blk"/>
  </w:style>
  <w:style w:type="numbering" w:styleId="1035" w:customStyle="1">
    <w:name w:val="Стиль2"/>
    <w:uiPriority w:val="99"/>
    <w:pPr>
      <w:numPr>
        <w:ilvl w:val="0"/>
        <w:numId w:val="5"/>
      </w:numPr>
    </w:pPr>
  </w:style>
  <w:style w:type="paragraph" w:styleId="1036" w:customStyle="1">
    <w:name w:val="Таблица шапка"/>
    <w:basedOn w:val="940"/>
    <w:pPr>
      <w:ind w:left="57" w:right="57"/>
      <w:keepNext/>
      <w:spacing w:before="40" w:after="40"/>
    </w:pPr>
    <w:rPr>
      <w:sz w:val="22"/>
      <w:szCs w:val="26"/>
    </w:rPr>
  </w:style>
  <w:style w:type="character" w:styleId="1037" w:customStyle="1">
    <w:name w:val="Абзац списка Знак"/>
    <w:link w:val="1007"/>
    <w:uiPriority w:val="34"/>
    <w:rPr>
      <w:rFonts w:eastAsia="Calibri"/>
      <w:sz w:val="24"/>
      <w:szCs w:val="24"/>
    </w:rPr>
  </w:style>
  <w:style w:type="character" w:styleId="1038" w:customStyle="1">
    <w:name w:val="комментарий"/>
    <w:rPr>
      <w:b/>
      <w:i/>
      <w:shd w:val="clear" w:color="auto" w:fill="ffff99"/>
    </w:rPr>
  </w:style>
  <w:style w:type="paragraph" w:styleId="1039" w:customStyle="1">
    <w:name w:val="Подподпункт"/>
    <w:basedOn w:val="972"/>
    <w:link w:val="1040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40" w:customStyle="1">
    <w:name w:val="Подподпункт Знак"/>
    <w:link w:val="1039"/>
    <w:rPr>
      <w:sz w:val="26"/>
      <w:szCs w:val="26"/>
    </w:rPr>
  </w:style>
  <w:style w:type="paragraph" w:styleId="1041" w:customStyle="1">
    <w:name w:val="УРОВЕНЬ_(а)"/>
    <w:basedOn w:val="1007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42" w:customStyle="1">
    <w:name w:val="УРОВЕНЬ_-"/>
    <w:basedOn w:val="1007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43" w:customStyle="1">
    <w:name w:val="УРОВЕНЬ_Абзац_тип2"/>
    <w:basedOn w:val="1007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44" w:customStyle="1">
    <w:name w:val="УРОВЕНЬ_Абзац_тип3"/>
    <w:basedOn w:val="1007"/>
    <w:link w:val="1046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45" w:customStyle="1">
    <w:name w:val="УРОВЕНЬ_Подпись"/>
    <w:basedOn w:val="1007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46" w:customStyle="1">
    <w:name w:val="УРОВЕНЬ_Абзац_тип3 Знак"/>
    <w:link w:val="1044"/>
    <w:rPr>
      <w:rFonts w:eastAsia="Calibri"/>
      <w:sz w:val="26"/>
      <w:szCs w:val="28"/>
      <w:lang w:eastAsia="en-US"/>
    </w:rPr>
  </w:style>
  <w:style w:type="character" w:styleId="1047" w:customStyle="1">
    <w:name w:val="Верхний колонтитул Знак"/>
    <w:link w:val="962"/>
    <w:uiPriority w:val="99"/>
    <w:rPr>
      <w:sz w:val="24"/>
      <w:szCs w:val="24"/>
    </w:rPr>
  </w:style>
  <w:style w:type="character" w:styleId="1048" w:customStyle="1">
    <w:name w:val="Текст примечания Знак"/>
    <w:link w:val="983"/>
  </w:style>
  <w:style w:type="paragraph" w:styleId="1049" w:customStyle="1">
    <w:name w:val="Стиль Заголовок 1 + по ширине"/>
    <w:basedOn w:val="94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50">
    <w:name w:val="endnote text"/>
    <w:basedOn w:val="940"/>
    <w:link w:val="1051"/>
    <w:rPr>
      <w:sz w:val="20"/>
      <w:szCs w:val="20"/>
    </w:rPr>
  </w:style>
  <w:style w:type="character" w:styleId="1051" w:customStyle="1">
    <w:name w:val="Текст концевой сноски Знак"/>
    <w:basedOn w:val="950"/>
    <w:link w:val="1050"/>
  </w:style>
  <w:style w:type="character" w:styleId="1052">
    <w:name w:val="endnote reference"/>
    <w:basedOn w:val="950"/>
    <w:rPr>
      <w:vertAlign w:val="superscript"/>
    </w:rPr>
  </w:style>
  <w:style w:type="paragraph" w:styleId="1053" w:customStyle="1">
    <w:name w:val="Заголовок 2 КВВ"/>
    <w:basedOn w:val="94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54" w:customStyle="1">
    <w:name w:val="Пункт2 Знак"/>
    <w:link w:val="973"/>
    <w:rPr>
      <w:b/>
      <w:sz w:val="28"/>
    </w:rPr>
  </w:style>
  <w:style w:type="paragraph" w:styleId="1055" w:customStyle="1">
    <w:name w:val="Таблица текст"/>
    <w:basedOn w:val="940"/>
    <w:pPr>
      <w:ind w:left="57" w:right="57"/>
      <w:spacing w:before="40" w:after="40"/>
    </w:pPr>
    <w:rPr>
      <w:sz w:val="24"/>
      <w:szCs w:val="26"/>
    </w:rPr>
  </w:style>
  <w:style w:type="paragraph" w:styleId="1056">
    <w:name w:val="Normal (Web)"/>
    <w:basedOn w:val="94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57" w:customStyle="1">
    <w:name w:val="УРОВЕНЬ_1."/>
    <w:basedOn w:val="1007"/>
    <w:link w:val="1058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58" w:customStyle="1">
    <w:name w:val="УРОВЕНЬ_1. Знак"/>
    <w:link w:val="1057"/>
    <w:rPr>
      <w:rFonts w:eastAsia="Calibri"/>
      <w:caps/>
      <w:sz w:val="28"/>
      <w:szCs w:val="28"/>
      <w:lang w:eastAsia="en-US"/>
    </w:rPr>
  </w:style>
  <w:style w:type="table" w:styleId="1059" w:customStyle="1">
    <w:name w:val="Сетка таблицы1"/>
    <w:basedOn w:val="951"/>
    <w:next w:val="964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60">
    <w:name w:val="toc 6"/>
    <w:basedOn w:val="940"/>
    <w:next w:val="940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61">
    <w:name w:val="toc 7"/>
    <w:basedOn w:val="940"/>
    <w:next w:val="940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62">
    <w:name w:val="toc 8"/>
    <w:basedOn w:val="940"/>
    <w:next w:val="940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63" w:customStyle="1">
    <w:name w:val="Неразрешенное упоминание1"/>
    <w:basedOn w:val="950"/>
    <w:uiPriority w:val="99"/>
    <w:semiHidden/>
    <w:unhideWhenUsed/>
    <w:rPr>
      <w:color w:val="605e5c"/>
      <w:shd w:val="clear" w:color="auto" w:fill="e1dfdd"/>
    </w:rPr>
  </w:style>
  <w:style w:type="character" w:styleId="1064" w:customStyle="1">
    <w:name w:val="Основной текст с отступом 3 Знак"/>
    <w:link w:val="969"/>
    <w:rPr>
      <w:sz w:val="16"/>
      <w:szCs w:val="16"/>
    </w:rPr>
  </w:style>
  <w:style w:type="character" w:styleId="1065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066">
    <w:name w:val="FollowedHyperlink"/>
    <w:basedOn w:val="950"/>
    <w:semiHidden/>
    <w:unhideWhenUsed/>
    <w:rPr>
      <w:color w:val="954f72" w:themeColor="followedHyperlink"/>
      <w:u w:val="single"/>
    </w:rPr>
  </w:style>
  <w:style w:type="character" w:styleId="1067" w:customStyle="1">
    <w:name w:val="ConsPlusNormal Знак"/>
    <w:link w:val="1025"/>
    <w:rPr>
      <w:rFonts w:ascii="Arial" w:hAnsi="Arial" w:cs="Arial"/>
    </w:rPr>
  </w:style>
  <w:style w:type="paragraph" w:styleId="1068" w:customStyle="1">
    <w:name w:val="Пункт Знак"/>
    <w:basedOn w:val="940"/>
    <w:pPr>
      <w:ind w:left="1844" w:hanging="567"/>
      <w:jc w:val="both"/>
      <w:spacing w:line="360" w:lineRule="auto"/>
      <w:tabs>
        <w:tab w:val="left" w:pos="851" w:leader="none"/>
        <w:tab w:val="left" w:pos="1134" w:leader="none"/>
        <w:tab w:val="num" w:pos="1844" w:leader="none"/>
      </w:tabs>
    </w:pPr>
    <w:rPr>
      <w:b/>
      <w:szCs w:val="20"/>
    </w:rPr>
  </w:style>
  <w:style w:type="paragraph" w:styleId="1069" w:customStyle="1">
    <w:name w:val="Подподподпункт"/>
    <w:basedOn w:val="940"/>
    <w:pPr>
      <w:ind w:left="1718" w:hanging="1008"/>
      <w:jc w:val="both"/>
      <w:spacing w:line="360" w:lineRule="auto"/>
      <w:tabs>
        <w:tab w:val="left" w:pos="1134" w:leader="none"/>
        <w:tab w:val="left" w:pos="1701" w:leader="none"/>
      </w:tabs>
    </w:pPr>
    <w:rPr>
      <w:szCs w:val="20"/>
    </w:rPr>
  </w:style>
  <w:style w:type="paragraph" w:styleId="1070" w:customStyle="1">
    <w:name w:val="Пункт1"/>
    <w:basedOn w:val="940"/>
    <w:pPr>
      <w:ind w:left="567" w:hanging="279"/>
      <w:jc w:val="center"/>
      <w:spacing w:before="240" w:line="360" w:lineRule="auto"/>
      <w:tabs>
        <w:tab w:val="num" w:pos="567" w:leader="none"/>
      </w:tabs>
    </w:pPr>
    <w:rPr>
      <w:rFonts w:ascii="Arial" w:hAnsi="Arial"/>
      <w:b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image" Target="media/image2.png"/><Relationship Id="rId15" Type="http://schemas.openxmlformats.org/officeDocument/2006/relationships/oleObject" Target="embeddings/oleObject1.bin"/><Relationship Id="rId16" Type="http://schemas.openxmlformats.org/officeDocument/2006/relationships/image" Target="media/image3.emf"/><Relationship Id="rId17" Type="http://schemas.openxmlformats.org/officeDocument/2006/relationships/image" Target="media/media2.svg"/><Relationship Id="rId18" Type="http://schemas.openxmlformats.org/officeDocument/2006/relationships/image" Target="media/image4.emf"/><Relationship Id="rId19" Type="http://schemas.openxmlformats.org/officeDocument/2006/relationships/image" Target="media/media3.svg"/><Relationship Id="rId20" Type="http://schemas.openxmlformats.org/officeDocument/2006/relationships/image" Target="media/image5.emf"/><Relationship Id="rId21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AE9E5-6B34-4914-936F-E5CF72AF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kautenko_ma</cp:lastModifiedBy>
  <cp:revision>8</cp:revision>
  <dcterms:created xsi:type="dcterms:W3CDTF">2024-07-22T01:04:00Z</dcterms:created>
  <dcterms:modified xsi:type="dcterms:W3CDTF">2026-02-24T23:55:43Z</dcterms:modified>
</cp:coreProperties>
</file>